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F7E61" w14:textId="2BF0A5DB" w:rsidR="007825D7" w:rsidRPr="002305B8" w:rsidRDefault="002305B8" w:rsidP="00211260">
      <w:pPr>
        <w:spacing w:after="0" w:line="240" w:lineRule="auto"/>
        <w:rPr>
          <w:color w:val="0070C0"/>
          <w:sz w:val="32"/>
          <w:szCs w:val="32"/>
        </w:rPr>
      </w:pPr>
      <w:r w:rsidRPr="002305B8">
        <w:rPr>
          <w:color w:val="0070C0"/>
          <w:sz w:val="32"/>
          <w:szCs w:val="32"/>
        </w:rPr>
        <w:t xml:space="preserve">Rebuilding Resilience: A Strategic Proposal to Restore and Advance the Faculty of Management </w:t>
      </w:r>
      <w:r w:rsidR="006E4E1D" w:rsidRPr="002305B8">
        <w:rPr>
          <w:color w:val="0070C0"/>
          <w:sz w:val="32"/>
          <w:szCs w:val="32"/>
        </w:rPr>
        <w:t>after</w:t>
      </w:r>
      <w:r w:rsidRPr="002305B8">
        <w:rPr>
          <w:color w:val="0070C0"/>
          <w:sz w:val="32"/>
          <w:szCs w:val="32"/>
        </w:rPr>
        <w:t xml:space="preserve"> the </w:t>
      </w:r>
      <w:proofErr w:type="spellStart"/>
      <w:r w:rsidRPr="002305B8">
        <w:rPr>
          <w:color w:val="0070C0"/>
          <w:sz w:val="32"/>
          <w:szCs w:val="32"/>
        </w:rPr>
        <w:t>Ditwah</w:t>
      </w:r>
      <w:proofErr w:type="spellEnd"/>
      <w:r w:rsidRPr="002305B8">
        <w:rPr>
          <w:color w:val="0070C0"/>
          <w:sz w:val="32"/>
          <w:szCs w:val="32"/>
        </w:rPr>
        <w:t xml:space="preserve"> Cyclone and Flood</w:t>
      </w:r>
    </w:p>
    <w:p w14:paraId="4A232335" w14:textId="77777777" w:rsidR="002305B8" w:rsidRPr="002305B8" w:rsidRDefault="002305B8" w:rsidP="00211260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067F8D47" w14:textId="759D5F56" w:rsidR="007758B4" w:rsidRPr="007825D7" w:rsidRDefault="0009581E" w:rsidP="00211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825D7">
        <w:rPr>
          <w:rFonts w:ascii="Times New Roman" w:hAnsi="Times New Roman" w:cs="Times New Roman"/>
          <w:b/>
          <w:bCs/>
        </w:rPr>
        <w:t>Background</w:t>
      </w:r>
    </w:p>
    <w:p w14:paraId="53AA17C3" w14:textId="4247F82A" w:rsidR="009B4AE3" w:rsidRDefault="00F61F19" w:rsidP="00F61F19">
      <w:pPr>
        <w:pStyle w:val="NormalWeb"/>
        <w:jc w:val="both"/>
      </w:pPr>
      <w:r>
        <w:t xml:space="preserve">The University of Peradeniya stands as Sri Lanka’s </w:t>
      </w:r>
      <w:r w:rsidR="009739F4">
        <w:t>leading</w:t>
      </w:r>
      <w:r>
        <w:t xml:space="preserve"> national academic institution, comprising nine Faculties and a long tradition of excellence in higher education. On </w:t>
      </w:r>
      <w:r w:rsidRPr="00F61F19">
        <w:rPr>
          <w:rStyle w:val="Strong"/>
          <w:rFonts w:eastAsiaTheme="majorEastAsia"/>
          <w:b w:val="0"/>
          <w:bCs w:val="0"/>
        </w:rPr>
        <w:t>27th and 28th November 2025</w:t>
      </w:r>
      <w:r w:rsidRPr="00F61F19">
        <w:rPr>
          <w:b/>
          <w:bCs/>
        </w:rPr>
        <w:t>,</w:t>
      </w:r>
      <w:r>
        <w:t xml:space="preserve"> unprecedented floods and a devastating cyclone caused severe damage to large sections of the University</w:t>
      </w:r>
      <w:r w:rsidRPr="003368D2">
        <w:rPr>
          <w:rStyle w:val="FootnoteReference"/>
        </w:rPr>
        <w:footnoteReference w:id="1"/>
      </w:r>
      <w:r w:rsidRPr="003368D2">
        <w:t>.</w:t>
      </w:r>
      <w:r>
        <w:t xml:space="preserve"> </w:t>
      </w:r>
      <w:r w:rsidR="009B4AE3">
        <w:t xml:space="preserve">Among the most affected was the </w:t>
      </w:r>
      <w:r w:rsidR="009B4AE3" w:rsidRPr="009B4AE3">
        <w:rPr>
          <w:rStyle w:val="Strong"/>
          <w:rFonts w:eastAsiaTheme="majorEastAsia"/>
          <w:b w:val="0"/>
          <w:bCs w:val="0"/>
        </w:rPr>
        <w:t>Faculty of Management</w:t>
      </w:r>
      <w:r w:rsidR="009B4AE3">
        <w:t xml:space="preserve">, which sustained extensive damage to its </w:t>
      </w:r>
      <w:r w:rsidR="004373BF">
        <w:t xml:space="preserve">entire </w:t>
      </w:r>
      <w:r w:rsidR="009B4AE3">
        <w:t xml:space="preserve">buildings, teaching spaces, and essential facilities. </w:t>
      </w:r>
    </w:p>
    <w:p w14:paraId="282AE28B" w14:textId="7D384287" w:rsidR="00F61F19" w:rsidRPr="00F61F19" w:rsidRDefault="00F61F19" w:rsidP="00F61F19">
      <w:pPr>
        <w:pStyle w:val="NormalWeb"/>
        <w:jc w:val="both"/>
      </w:pPr>
      <w:r w:rsidRPr="00F61F19">
        <w:t xml:space="preserve">Established in </w:t>
      </w:r>
      <w:r w:rsidRPr="009B4AE3">
        <w:rPr>
          <w:rStyle w:val="Strong"/>
          <w:rFonts w:eastAsiaTheme="majorEastAsia"/>
          <w:b w:val="0"/>
          <w:bCs w:val="0"/>
        </w:rPr>
        <w:t>2015</w:t>
      </w:r>
      <w:r w:rsidRPr="009B4AE3">
        <w:rPr>
          <w:b/>
          <w:bCs/>
        </w:rPr>
        <w:t>,</w:t>
      </w:r>
      <w:r w:rsidRPr="00F61F19">
        <w:t xml:space="preserve"> the Faculty of Management has rapidly emerged as one of the most </w:t>
      </w:r>
      <w:r w:rsidRPr="009B4AE3">
        <w:rPr>
          <w:rStyle w:val="Strong"/>
          <w:rFonts w:eastAsiaTheme="majorEastAsia"/>
          <w:b w:val="0"/>
          <w:bCs w:val="0"/>
        </w:rPr>
        <w:t>progressive faculties</w:t>
      </w:r>
      <w:r w:rsidRPr="00F61F19">
        <w:t xml:space="preserve"> at the University of Peradeniya. It began with five </w:t>
      </w:r>
      <w:r w:rsidR="009B4AE3">
        <w:t>academic</w:t>
      </w:r>
      <w:r w:rsidRPr="00F61F19">
        <w:t xml:space="preserve"> departments</w:t>
      </w:r>
      <w:r w:rsidR="009B4AE3">
        <w:t xml:space="preserve">: namely </w:t>
      </w:r>
      <w:r w:rsidRPr="009B4AE3">
        <w:rPr>
          <w:rStyle w:val="Strong"/>
          <w:rFonts w:eastAsiaTheme="majorEastAsia"/>
          <w:b w:val="0"/>
          <w:bCs w:val="0"/>
        </w:rPr>
        <w:t>Business Finance, Human Resource Management, Management Studies, Marketing Management, and Operations Management</w:t>
      </w:r>
      <w:r w:rsidRPr="00F61F19">
        <w:t xml:space="preserve">. The Faculty’s </w:t>
      </w:r>
      <w:r w:rsidRPr="009B4AE3">
        <w:rPr>
          <w:rStyle w:val="Strong"/>
          <w:rFonts w:eastAsiaTheme="majorEastAsia"/>
          <w:b w:val="0"/>
          <w:bCs w:val="0"/>
        </w:rPr>
        <w:t xml:space="preserve">BBA Degree </w:t>
      </w:r>
      <w:proofErr w:type="spellStart"/>
      <w:r w:rsidRPr="009B4AE3">
        <w:rPr>
          <w:rStyle w:val="Strong"/>
          <w:rFonts w:eastAsiaTheme="majorEastAsia"/>
          <w:b w:val="0"/>
          <w:bCs w:val="0"/>
        </w:rPr>
        <w:t>Programme</w:t>
      </w:r>
      <w:proofErr w:type="spellEnd"/>
      <w:r w:rsidRPr="00F61F19">
        <w:t xml:space="preserve"> has been awarded a </w:t>
      </w:r>
      <w:r w:rsidRPr="009B4AE3">
        <w:rPr>
          <w:rStyle w:val="Strong"/>
          <w:rFonts w:eastAsiaTheme="majorEastAsia"/>
          <w:b w:val="0"/>
          <w:bCs w:val="0"/>
        </w:rPr>
        <w:t>Grade “A”</w:t>
      </w:r>
      <w:r w:rsidRPr="00F61F19">
        <w:t xml:space="preserve"> by the </w:t>
      </w:r>
      <w:r w:rsidRPr="009B4AE3">
        <w:rPr>
          <w:rStyle w:val="Strong"/>
          <w:rFonts w:eastAsiaTheme="majorEastAsia"/>
          <w:b w:val="0"/>
          <w:bCs w:val="0"/>
        </w:rPr>
        <w:t>QAAC</w:t>
      </w:r>
      <w:r w:rsidR="009B4AE3">
        <w:rPr>
          <w:rStyle w:val="Strong"/>
          <w:rFonts w:eastAsiaTheme="majorEastAsia"/>
          <w:b w:val="0"/>
          <w:bCs w:val="0"/>
        </w:rPr>
        <w:t xml:space="preserve"> </w:t>
      </w:r>
      <w:r w:rsidRPr="009B4AE3">
        <w:t>of the</w:t>
      </w:r>
      <w:r w:rsidRPr="009B4AE3">
        <w:rPr>
          <w:b/>
          <w:bCs/>
        </w:rPr>
        <w:t xml:space="preserve"> </w:t>
      </w:r>
      <w:r w:rsidRPr="009B4AE3">
        <w:rPr>
          <w:rStyle w:val="Strong"/>
          <w:rFonts w:eastAsiaTheme="majorEastAsia"/>
          <w:b w:val="0"/>
          <w:bCs w:val="0"/>
        </w:rPr>
        <w:t>UGC</w:t>
      </w:r>
      <w:r w:rsidRPr="009B4AE3">
        <w:rPr>
          <w:b/>
          <w:bCs/>
        </w:rPr>
        <w:t>.</w:t>
      </w:r>
      <w:r w:rsidRPr="00F61F19">
        <w:t xml:space="preserve"> Independent surveys consistently demonstrate a </w:t>
      </w:r>
      <w:r w:rsidRPr="009B4AE3">
        <w:rPr>
          <w:rStyle w:val="Strong"/>
          <w:rFonts w:eastAsiaTheme="majorEastAsia"/>
          <w:b w:val="0"/>
          <w:bCs w:val="0"/>
        </w:rPr>
        <w:t>high level of employability</w:t>
      </w:r>
      <w:r w:rsidRPr="00F61F19">
        <w:t xml:space="preserve"> among its graduates, reflecting the Faculty’s strong industry relevance and academic rigor. Beyond undergraduate education, the Faculty has </w:t>
      </w:r>
      <w:r w:rsidR="009B4AE3">
        <w:t xml:space="preserve">recently </w:t>
      </w:r>
      <w:r w:rsidR="00B80A59">
        <w:t xml:space="preserve">started </w:t>
      </w:r>
      <w:r w:rsidRPr="00F61F19">
        <w:t xml:space="preserve">offering </w:t>
      </w:r>
      <w:r w:rsidRPr="009B4AE3">
        <w:rPr>
          <w:rStyle w:val="Strong"/>
          <w:rFonts w:eastAsiaTheme="majorEastAsia"/>
          <w:b w:val="0"/>
          <w:bCs w:val="0"/>
        </w:rPr>
        <w:t xml:space="preserve">MBA, MSc, MPhil, and PhD </w:t>
      </w:r>
      <w:proofErr w:type="spellStart"/>
      <w:r w:rsidRPr="009B4AE3">
        <w:rPr>
          <w:rStyle w:val="Strong"/>
          <w:rFonts w:eastAsiaTheme="majorEastAsia"/>
          <w:b w:val="0"/>
          <w:bCs w:val="0"/>
        </w:rPr>
        <w:t>programmes</w:t>
      </w:r>
      <w:proofErr w:type="spellEnd"/>
      <w:r w:rsidRPr="009B4AE3">
        <w:t>,</w:t>
      </w:r>
      <w:r w:rsidRPr="00F61F19">
        <w:t xml:space="preserve"> nurturing future leaders, researchers, and policymakers. At present, the Faculty serves approximately </w:t>
      </w:r>
      <w:r w:rsidRPr="009B4AE3">
        <w:rPr>
          <w:rStyle w:val="Strong"/>
          <w:rFonts w:eastAsiaTheme="majorEastAsia"/>
          <w:b w:val="0"/>
          <w:bCs w:val="0"/>
        </w:rPr>
        <w:t>800 BBA undergraduates</w:t>
      </w:r>
      <w:r w:rsidRPr="00F61F19">
        <w:t xml:space="preserve"> and </w:t>
      </w:r>
      <w:r w:rsidRPr="009B4AE3">
        <w:rPr>
          <w:rStyle w:val="Strong"/>
          <w:rFonts w:eastAsiaTheme="majorEastAsia"/>
          <w:b w:val="0"/>
          <w:bCs w:val="0"/>
        </w:rPr>
        <w:t>over 100 postgraduate</w:t>
      </w:r>
      <w:r w:rsidR="009B4AE3">
        <w:rPr>
          <w:rStyle w:val="Strong"/>
          <w:rFonts w:eastAsiaTheme="majorEastAsia"/>
          <w:b w:val="0"/>
          <w:bCs w:val="0"/>
        </w:rPr>
        <w:t>s</w:t>
      </w:r>
      <w:r w:rsidRPr="00F61F19">
        <w:t>, making it a vital contributor to Sri Lanka’s human capital development. In addition, the Faculty of Management</w:t>
      </w:r>
      <w:r w:rsidR="00B80A59">
        <w:t xml:space="preserve"> </w:t>
      </w:r>
      <w:r w:rsidRPr="00F61F19">
        <w:t>together with the Faculty of Arts</w:t>
      </w:r>
      <w:r w:rsidR="00B80A59">
        <w:t xml:space="preserve"> </w:t>
      </w:r>
      <w:r w:rsidRPr="00F61F19">
        <w:t xml:space="preserve">jointly delivers the prestigious </w:t>
      </w:r>
      <w:r w:rsidRPr="009B4AE3">
        <w:rPr>
          <w:rStyle w:val="Strong"/>
          <w:rFonts w:eastAsiaTheme="majorEastAsia"/>
          <w:b w:val="0"/>
          <w:bCs w:val="0"/>
        </w:rPr>
        <w:t xml:space="preserve">inter-faculty Bachelor of Commerce (B.Com) </w:t>
      </w:r>
      <w:proofErr w:type="spellStart"/>
      <w:r w:rsidRPr="009B4AE3">
        <w:rPr>
          <w:rStyle w:val="Strong"/>
          <w:rFonts w:eastAsiaTheme="majorEastAsia"/>
          <w:b w:val="0"/>
          <w:bCs w:val="0"/>
        </w:rPr>
        <w:t>programme</w:t>
      </w:r>
      <w:proofErr w:type="spellEnd"/>
      <w:r w:rsidRPr="009B4AE3">
        <w:rPr>
          <w:b/>
          <w:bCs/>
        </w:rPr>
        <w:t>,</w:t>
      </w:r>
      <w:r w:rsidRPr="00F61F19">
        <w:t xml:space="preserve"> one of the oldest and most </w:t>
      </w:r>
      <w:r w:rsidR="009B4AE3">
        <w:t xml:space="preserve">recognized </w:t>
      </w:r>
      <w:r w:rsidRPr="00F61F19">
        <w:t xml:space="preserve">degree </w:t>
      </w:r>
      <w:proofErr w:type="spellStart"/>
      <w:r w:rsidRPr="00F61F19">
        <w:t>programmes</w:t>
      </w:r>
      <w:proofErr w:type="spellEnd"/>
      <w:r w:rsidRPr="00F61F19">
        <w:t xml:space="preserve"> at the University of Peradeniya, first introduced in the </w:t>
      </w:r>
      <w:r w:rsidRPr="009B4AE3">
        <w:rPr>
          <w:rStyle w:val="Strong"/>
          <w:rFonts w:eastAsiaTheme="majorEastAsia"/>
          <w:b w:val="0"/>
          <w:bCs w:val="0"/>
        </w:rPr>
        <w:t>1960s</w:t>
      </w:r>
      <w:r w:rsidRPr="00F61F19">
        <w:t xml:space="preserve">. Today, the Faculty of Management stands at a critical crossroads. With timely support from </w:t>
      </w:r>
      <w:r w:rsidRPr="009B4AE3">
        <w:rPr>
          <w:rStyle w:val="Strong"/>
          <w:rFonts w:eastAsiaTheme="majorEastAsia"/>
          <w:b w:val="0"/>
          <w:bCs w:val="0"/>
        </w:rPr>
        <w:t>corporate partners, development agencies, alumni, and well-wishers</w:t>
      </w:r>
      <w:r w:rsidRPr="009B4AE3">
        <w:rPr>
          <w:b/>
          <w:bCs/>
        </w:rPr>
        <w:t>,</w:t>
      </w:r>
      <w:r w:rsidRPr="00F61F19">
        <w:t xml:space="preserve"> this national academic asset can be restored and strengthened for future generations. Your sponsorship will not only help rebuild physical infrastructure, but also </w:t>
      </w:r>
      <w:r w:rsidRPr="009B4AE3">
        <w:rPr>
          <w:rStyle w:val="Strong"/>
          <w:rFonts w:eastAsiaTheme="majorEastAsia"/>
          <w:b w:val="0"/>
          <w:bCs w:val="0"/>
        </w:rPr>
        <w:t>reinvest in excellence, opportunity, and national development</w:t>
      </w:r>
      <w:r w:rsidRPr="00F61F19">
        <w:t>.</w:t>
      </w:r>
    </w:p>
    <w:p w14:paraId="01322333" w14:textId="04147A92" w:rsidR="00334A99" w:rsidRDefault="00334A99" w:rsidP="00334A99">
      <w:pPr>
        <w:pStyle w:val="NormalWeb"/>
        <w:jc w:val="both"/>
      </w:pPr>
      <w:r>
        <w:t xml:space="preserve">The Faculty operates in three two-storied buildings with an approximate floor area of 35,000 square feet. These facilities are equipped with modern infrastructure, including smart classrooms, audio-visual conferencing facilities, </w:t>
      </w:r>
      <w:r w:rsidRPr="006F046A">
        <w:t>two computer laboratories with approximately 200 computers,</w:t>
      </w:r>
      <w:r>
        <w:t xml:space="preserve"> a business incubation cell, an innovation co-creation cell, a simulation lab, Wi-Fi, CCTV systems, and advanced analytical software such as ERP systems, SPSS, </w:t>
      </w:r>
      <w:r w:rsidR="00D512C8">
        <w:t xml:space="preserve">AMOS, NVIVO </w:t>
      </w:r>
      <w:r>
        <w:t xml:space="preserve">and other specialized applications. Each department is supported by a mini-library. Many of these facilities were developed with </w:t>
      </w:r>
      <w:r w:rsidR="00D512C8">
        <w:t xml:space="preserve">the </w:t>
      </w:r>
      <w:r>
        <w:t xml:space="preserve">support from AHEAD development projects funded by the Ministry of Education and the World Bank. </w:t>
      </w:r>
      <w:r w:rsidR="00621656">
        <w:t>However, the</w:t>
      </w:r>
      <w:r>
        <w:t xml:space="preserve"> Faculty was severely affected by </w:t>
      </w:r>
      <w:bookmarkStart w:id="0" w:name="_Hlk216356733"/>
      <w:r>
        <w:t xml:space="preserve">the </w:t>
      </w:r>
      <w:proofErr w:type="spellStart"/>
      <w:r>
        <w:t>Ditwah</w:t>
      </w:r>
      <w:proofErr w:type="spellEnd"/>
      <w:r>
        <w:t xml:space="preserve"> cyclone </w:t>
      </w:r>
      <w:bookmarkEnd w:id="0"/>
      <w:r>
        <w:t xml:space="preserve">and the subsequent Mahaweli River flooding on 28 and 29 November 2025. The water level of the Mahaweli River rose to more than 20 feet above the </w:t>
      </w:r>
      <w:r w:rsidR="00621656">
        <w:t>faculty’s</w:t>
      </w:r>
      <w:r>
        <w:t xml:space="preserve"> ground level. As a result, approximately 90% of its physical resources</w:t>
      </w:r>
      <w:r w:rsidR="00B80A59">
        <w:t xml:space="preserve"> </w:t>
      </w:r>
      <w:r w:rsidRPr="006F046A">
        <w:t>including 95% of computers</w:t>
      </w:r>
      <w:r>
        <w:t xml:space="preserve"> and </w:t>
      </w:r>
      <w:r w:rsidR="00D512C8">
        <w:t xml:space="preserve">other </w:t>
      </w:r>
      <w:r>
        <w:t>electronic devices</w:t>
      </w:r>
      <w:r w:rsidR="00B80A59">
        <w:t xml:space="preserve"> including personal belongs of academic staff-</w:t>
      </w:r>
      <w:r>
        <w:t xml:space="preserve">were submerged for more than 24 </w:t>
      </w:r>
      <w:r>
        <w:lastRenderedPageBreak/>
        <w:t>hours and became non-functional. The tentative estimated financial loss is approximately LKR 250–300 million.</w:t>
      </w:r>
    </w:p>
    <w:p w14:paraId="3CE28641" w14:textId="77777777" w:rsidR="00081384" w:rsidRPr="00211260" w:rsidRDefault="00081384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11260">
        <w:rPr>
          <w:rFonts w:ascii="Times New Roman" w:hAnsi="Times New Roman" w:cs="Times New Roman"/>
          <w:b/>
          <w:bCs/>
        </w:rPr>
        <w:t>2. Objectives</w:t>
      </w:r>
    </w:p>
    <w:p w14:paraId="59454BBF" w14:textId="2AA59210" w:rsidR="00081384" w:rsidRPr="00211260" w:rsidRDefault="00081384" w:rsidP="0021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260">
        <w:rPr>
          <w:rFonts w:ascii="Times New Roman" w:hAnsi="Times New Roman" w:cs="Times New Roman"/>
        </w:rPr>
        <w:t xml:space="preserve">Based on the above background, the objectives of this proposal are </w:t>
      </w:r>
      <w:r w:rsidR="00621656">
        <w:rPr>
          <w:rFonts w:ascii="Times New Roman" w:hAnsi="Times New Roman" w:cs="Times New Roman"/>
        </w:rPr>
        <w:t>three</w:t>
      </w:r>
      <w:r w:rsidRPr="00211260">
        <w:rPr>
          <w:rFonts w:ascii="Times New Roman" w:hAnsi="Times New Roman" w:cs="Times New Roman"/>
        </w:rPr>
        <w:t>fold, aimed at restoring the Faculty of Management to normal functioning:</w:t>
      </w:r>
    </w:p>
    <w:p w14:paraId="7BCD7BF1" w14:textId="68CB86B7" w:rsidR="00D512C8" w:rsidRDefault="00D512C8" w:rsidP="002112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enhance the awareness among the relevant stakeholders relating to the extend and </w:t>
      </w:r>
      <w:r w:rsidR="00792380">
        <w:rPr>
          <w:rFonts w:ascii="Times New Roman" w:hAnsi="Times New Roman" w:cs="Times New Roman"/>
        </w:rPr>
        <w:t>severity of the destruction of the faculty.</w:t>
      </w:r>
    </w:p>
    <w:p w14:paraId="0D5BCD89" w14:textId="2E7C90D8" w:rsidR="007C67D0" w:rsidRPr="00211260" w:rsidRDefault="00081384" w:rsidP="002112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1260">
        <w:rPr>
          <w:rFonts w:ascii="Times New Roman" w:hAnsi="Times New Roman" w:cs="Times New Roman"/>
        </w:rPr>
        <w:t>To invite potential stakeholders to assist in the rebuilding process</w:t>
      </w:r>
      <w:r w:rsidR="00F559D9" w:rsidRPr="00211260">
        <w:rPr>
          <w:rFonts w:ascii="Times New Roman" w:hAnsi="Times New Roman" w:cs="Times New Roman"/>
        </w:rPr>
        <w:t xml:space="preserve"> of the faculty</w:t>
      </w:r>
      <w:r w:rsidRPr="00211260">
        <w:rPr>
          <w:rFonts w:ascii="Times New Roman" w:hAnsi="Times New Roman" w:cs="Times New Roman"/>
        </w:rPr>
        <w:t>.</w:t>
      </w:r>
    </w:p>
    <w:p w14:paraId="6B845277" w14:textId="366A2A9E" w:rsidR="00081384" w:rsidRPr="00211260" w:rsidRDefault="00081384" w:rsidP="002112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1260">
        <w:rPr>
          <w:rFonts w:ascii="Times New Roman" w:hAnsi="Times New Roman" w:cs="Times New Roman"/>
        </w:rPr>
        <w:t>To identify and offer work packages to stakeholders based on their interests and capacities.</w:t>
      </w:r>
    </w:p>
    <w:p w14:paraId="49B14D86" w14:textId="77777777" w:rsidR="00A84942" w:rsidRPr="00211260" w:rsidRDefault="00A84942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03C706" w14:textId="2A01E1DC" w:rsidR="00965B49" w:rsidRPr="00211260" w:rsidRDefault="00081384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11260">
        <w:rPr>
          <w:rFonts w:ascii="Times New Roman" w:hAnsi="Times New Roman" w:cs="Times New Roman"/>
          <w:b/>
          <w:bCs/>
        </w:rPr>
        <w:t>3. Phases of the Recovery Model</w:t>
      </w:r>
    </w:p>
    <w:p w14:paraId="6DBF138E" w14:textId="46B15A29" w:rsidR="00583D2C" w:rsidRPr="00211260" w:rsidRDefault="00583D2C" w:rsidP="0021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260">
        <w:rPr>
          <w:rFonts w:ascii="Times New Roman" w:hAnsi="Times New Roman" w:cs="Times New Roman"/>
        </w:rPr>
        <w:t xml:space="preserve">The faculty intends to adopt a feasible recovery model to initiate the rebuilding process. Accordingly, the Faculty has identified and initiated </w:t>
      </w:r>
      <w:r w:rsidR="00E44311">
        <w:rPr>
          <w:rFonts w:ascii="Times New Roman" w:hAnsi="Times New Roman" w:cs="Times New Roman"/>
        </w:rPr>
        <w:t xml:space="preserve">four </w:t>
      </w:r>
      <w:r w:rsidRPr="00211260">
        <w:rPr>
          <w:rFonts w:ascii="Times New Roman" w:hAnsi="Times New Roman" w:cs="Times New Roman"/>
        </w:rPr>
        <w:t>work packages to restore normalcy</w:t>
      </w:r>
      <w:r w:rsidR="00CD0B14">
        <w:rPr>
          <w:rFonts w:ascii="Times New Roman" w:hAnsi="Times New Roman" w:cs="Times New Roman"/>
        </w:rPr>
        <w:t xml:space="preserve"> and advancement</w:t>
      </w:r>
      <w:r w:rsidRPr="00211260">
        <w:rPr>
          <w:rFonts w:ascii="Times New Roman" w:hAnsi="Times New Roman" w:cs="Times New Roman"/>
        </w:rPr>
        <w:t>. The proposed recovery plan consists of the following phases:</w:t>
      </w:r>
    </w:p>
    <w:p w14:paraId="06EE6416" w14:textId="77777777" w:rsidR="00334A99" w:rsidRDefault="00334A99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AEDB802" w14:textId="7E98467D" w:rsidR="00583D2C" w:rsidRPr="00583D2C" w:rsidRDefault="00583D2C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I – Recovery Stage</w:t>
      </w:r>
    </w:p>
    <w:p w14:paraId="7CB8F8F1" w14:textId="77777777" w:rsidR="00583D2C" w:rsidRPr="00583D2C" w:rsidRDefault="00583D2C" w:rsidP="002112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This initial phase focuses on laying the groundwork required to restart basic faculty operations. Its main objectives include:</w:t>
      </w:r>
    </w:p>
    <w:p w14:paraId="1E9D1D0A" w14:textId="35E4BFCB" w:rsidR="00AC4BF6" w:rsidRDefault="00AC4BF6" w:rsidP="002112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Initiate an awareness campaign regarding the damage: Use digital and traditional media in raising the awareness level among the public </w:t>
      </w:r>
    </w:p>
    <w:p w14:paraId="5F333C0C" w14:textId="31DDA203" w:rsidR="00583D2C" w:rsidRPr="00583D2C" w:rsidRDefault="00583D2C" w:rsidP="002112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Identification of Key Stakeholders: Mapping and engaging all relevant internal and external stakeholders—including government bodies, donors, industry partners, university administration, and community organizations—to collaborate in the recovery effort.</w:t>
      </w:r>
    </w:p>
    <w:p w14:paraId="4B9373FF" w14:textId="77777777" w:rsidR="00583D2C" w:rsidRPr="00583D2C" w:rsidRDefault="00583D2C" w:rsidP="002112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Mobilization and Securing of Funding: Seeking financial support through institutional budgets, grants, donations, and emergency funds to enable immediate action.</w:t>
      </w:r>
    </w:p>
    <w:p w14:paraId="72D5DD18" w14:textId="77777777" w:rsidR="00583D2C" w:rsidRPr="00583D2C" w:rsidRDefault="00583D2C" w:rsidP="002112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Restoration of Essential Minimum Resources: Assessing damages and identifying critical needs related to infrastructure, equipment, utilities, and safety requirements.</w:t>
      </w:r>
    </w:p>
    <w:p w14:paraId="118FCB4C" w14:textId="11CF4C5D" w:rsidR="00583D2C" w:rsidRPr="00583D2C" w:rsidRDefault="00583D2C" w:rsidP="002112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 xml:space="preserve">Sourcing and Procurement: Acquiring essential items such as office equipment, teaching tools, furniture, </w:t>
      </w:r>
      <w:r w:rsidR="00AA2458" w:rsidRPr="0021126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IT hardware</w:t>
      </w:r>
      <w:r w:rsidR="00AA2458" w:rsidRPr="0021126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476D389" w14:textId="77777777" w:rsidR="00583D2C" w:rsidRPr="00583D2C" w:rsidRDefault="00583D2C" w:rsidP="002112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Repairs and Reinstatement of Facilities</w:t>
      </w:r>
      <w:r w:rsidRPr="00583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83D2C">
        <w:rPr>
          <w:rFonts w:ascii="Times New Roman" w:eastAsia="Times New Roman" w:hAnsi="Times New Roman" w:cs="Times New Roman"/>
          <w:kern w:val="0"/>
          <w14:ligatures w14:val="none"/>
        </w:rPr>
        <w:t xml:space="preserve"> Undertaking essential repairs and temporary installations necessary for administrative and academic continuity.</w:t>
      </w:r>
    </w:p>
    <w:p w14:paraId="231CBF87" w14:textId="77777777" w:rsidR="00334A99" w:rsidRDefault="00334A99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FBFF336" w14:textId="066D1DCC" w:rsidR="00583D2C" w:rsidRPr="00583D2C" w:rsidRDefault="00583D2C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II – Administrative Normalcy</w:t>
      </w:r>
    </w:p>
    <w:p w14:paraId="61E235FB" w14:textId="77777777" w:rsidR="00583D2C" w:rsidRPr="00583D2C" w:rsidRDefault="00583D2C" w:rsidP="002112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Once urgent needs are addressed, the focus shifts to re-establishing full administrative capacity. This phase includes:</w:t>
      </w:r>
    </w:p>
    <w:p w14:paraId="3E3DD672" w14:textId="77777777" w:rsidR="00583D2C" w:rsidRPr="00583D2C" w:rsidRDefault="00583D2C" w:rsidP="002112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Full Restoration of Administrative Offices: Re-equipping offices with furniture, computing facilities, networking infrastructure, and communication systems.</w:t>
      </w:r>
    </w:p>
    <w:p w14:paraId="65589B58" w14:textId="59947648" w:rsidR="00583D2C" w:rsidRPr="00583D2C" w:rsidRDefault="00583D2C" w:rsidP="002112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Strengthening of Administrative Processes</w:t>
      </w:r>
      <w:r w:rsidR="00C34A88">
        <w:rPr>
          <w:rFonts w:ascii="Times New Roman" w:eastAsia="Times New Roman" w:hAnsi="Times New Roman" w:cs="Times New Roman"/>
          <w:kern w:val="0"/>
          <w14:ligatures w14:val="none"/>
        </w:rPr>
        <w:t xml:space="preserve"> through digitalization</w:t>
      </w: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: Reinstating essential functions such as student services, human resources, finance, procurement, and facility management.</w:t>
      </w:r>
    </w:p>
    <w:p w14:paraId="22D4BF04" w14:textId="77777777" w:rsidR="00AA2458" w:rsidRDefault="00AA2458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9EC5BBD" w14:textId="77777777" w:rsidR="00D02659" w:rsidRDefault="00D02659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3C15648" w14:textId="77777777" w:rsidR="00D02659" w:rsidRPr="00211260" w:rsidRDefault="00D02659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B687F69" w14:textId="7A217257" w:rsidR="00583D2C" w:rsidRPr="00583D2C" w:rsidRDefault="00583D2C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Phase III – Resumption of Teaching and Learning Activities</w:t>
      </w:r>
      <w:r w:rsidR="00764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including research </w:t>
      </w:r>
    </w:p>
    <w:p w14:paraId="72ECC891" w14:textId="77777777" w:rsidR="00583D2C" w:rsidRPr="00583D2C" w:rsidRDefault="00583D2C" w:rsidP="002112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This phase focuses on normalizing academic functions and ensuring students can continue their learning with minimal disruption. Key activities include:</w:t>
      </w:r>
    </w:p>
    <w:p w14:paraId="00D75266" w14:textId="77777777" w:rsidR="00583D2C" w:rsidRPr="00583D2C" w:rsidRDefault="00583D2C" w:rsidP="002112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Reinstatement of Teaching Spaces: Preparing lecture halls, classrooms, laboratories, and digital learning environments to a fully functional state.</w:t>
      </w:r>
    </w:p>
    <w:p w14:paraId="5F80BFEF" w14:textId="77777777" w:rsidR="00583D2C" w:rsidRPr="00583D2C" w:rsidRDefault="00583D2C" w:rsidP="002112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Procurement of Academic Resources: Securing teaching aids, laboratory equipment, learning materials, and IT infrastructure necessary for high-quality instruction.</w:t>
      </w:r>
    </w:p>
    <w:p w14:paraId="69502C75" w14:textId="77777777" w:rsidR="00583D2C" w:rsidRPr="00583D2C" w:rsidRDefault="00583D2C" w:rsidP="002112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Timetabling and Course Delivery Readiness: Restoring academic schedules, reallocating teaching spaces, and verifying that course delivery requirements are met.</w:t>
      </w:r>
    </w:p>
    <w:p w14:paraId="305F96A1" w14:textId="692105B7" w:rsidR="00583D2C" w:rsidRDefault="00583D2C" w:rsidP="002112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kern w:val="0"/>
          <w14:ligatures w14:val="none"/>
        </w:rPr>
        <w:t xml:space="preserve">Strengthening </w:t>
      </w:r>
      <w:r w:rsidR="00AA2458" w:rsidRPr="00211260">
        <w:rPr>
          <w:rFonts w:ascii="Times New Roman" w:eastAsia="Times New Roman" w:hAnsi="Times New Roman" w:cs="Times New Roman"/>
          <w:kern w:val="0"/>
          <w14:ligatures w14:val="none"/>
        </w:rPr>
        <w:t>LCT-OBT</w:t>
      </w:r>
      <w:r w:rsidRPr="00583D2C">
        <w:rPr>
          <w:rFonts w:ascii="Times New Roman" w:eastAsia="Times New Roman" w:hAnsi="Times New Roman" w:cs="Times New Roman"/>
          <w:kern w:val="0"/>
          <w14:ligatures w14:val="none"/>
        </w:rPr>
        <w:t xml:space="preserve">: Enhancing technological capacity to ensure continuity of </w:t>
      </w:r>
      <w:r w:rsidR="00AA2458" w:rsidRPr="00211260">
        <w:rPr>
          <w:rFonts w:ascii="Times New Roman" w:eastAsia="Times New Roman" w:hAnsi="Times New Roman" w:cs="Times New Roman"/>
          <w:kern w:val="0"/>
          <w14:ligatures w14:val="none"/>
        </w:rPr>
        <w:t xml:space="preserve">student-centered </w:t>
      </w:r>
      <w:r w:rsidRPr="00583D2C">
        <w:rPr>
          <w:rFonts w:ascii="Times New Roman" w:eastAsia="Times New Roman" w:hAnsi="Times New Roman" w:cs="Times New Roman"/>
          <w:kern w:val="0"/>
          <w14:ligatures w14:val="none"/>
        </w:rPr>
        <w:t>education through hybrid.</w:t>
      </w:r>
    </w:p>
    <w:p w14:paraId="75779187" w14:textId="41D9C7D6" w:rsidR="00764D5D" w:rsidRPr="00583D2C" w:rsidRDefault="00764D5D" w:rsidP="002112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Strengthen internationalization and the research of the Faculty</w:t>
      </w:r>
    </w:p>
    <w:p w14:paraId="408AFDFA" w14:textId="77777777" w:rsidR="00334A99" w:rsidRDefault="00334A99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744902A" w14:textId="62C564FF" w:rsidR="00583D2C" w:rsidRDefault="00583D2C" w:rsidP="00211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3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IV – Re</w:t>
      </w:r>
      <w:r w:rsidR="006216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location of the Faculty </w:t>
      </w:r>
    </w:p>
    <w:p w14:paraId="2B14E36A" w14:textId="77777777" w:rsidR="00764D5D" w:rsidRDefault="00764D5D" w:rsidP="00764D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Following are the activities to be identified for the relocation of the Faculty of Management </w:t>
      </w:r>
    </w:p>
    <w:p w14:paraId="625C3C40" w14:textId="5D6ADFB5" w:rsidR="00764D5D" w:rsidRPr="00764D5D" w:rsidRDefault="006F7C1A" w:rsidP="0021493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Relocation </w:t>
      </w:r>
      <w:r w:rsidR="00764D5D" w:rsidRPr="00926614">
        <w:rPr>
          <w:rFonts w:ascii="Times New Roman" w:eastAsia="Times New Roman" w:hAnsi="Times New Roman" w:cs="Times New Roman"/>
          <w:kern w:val="0"/>
          <w14:ligatures w14:val="none"/>
        </w:rPr>
        <w:t>Planning - which include</w:t>
      </w:r>
      <w:r w:rsidR="00764D5D" w:rsidRPr="006F7C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isk and vulnerability assessment of the existing Faculty premises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, n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eeds assessment for academic, administrative, and student facilities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, s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takeholder consultations (University administration, Faculty staff, students, UGC, local authorities)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, f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easibility study for relocation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, i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dentification and evaluation of alternative sites within or near Peradeniya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, l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and suitability analysis (topography, drainage, access, utilities)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, p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reliminary cost estimation and budget planning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 xml:space="preserve"> and p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reparation of project proposal and approval from relevant authorities</w:t>
      </w:r>
      <w:r w:rsidRPr="006F7C1A">
        <w:rPr>
          <w:rFonts w:ascii="Times New Roman" w:eastAsia="Times New Roman" w:hAnsi="Times New Roman" w:cs="Times New Roman"/>
          <w:kern w:val="0"/>
          <w14:ligatures w14:val="none"/>
        </w:rPr>
        <w:t xml:space="preserve">. Further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764D5D" w:rsidRPr="006F7C1A">
        <w:rPr>
          <w:rFonts w:ascii="Times New Roman" w:eastAsia="Times New Roman" w:hAnsi="Times New Roman" w:cs="Times New Roman"/>
          <w:kern w:val="0"/>
          <w14:ligatures w14:val="none"/>
        </w:rPr>
        <w:t>egulatory Approval Activities</w:t>
      </w:r>
      <w:r w:rsidRPr="006F7C1A">
        <w:rPr>
          <w:rFonts w:ascii="Times New Roman" w:eastAsia="Times New Roman" w:hAnsi="Times New Roman" w:cs="Times New Roman"/>
          <w:kern w:val="0"/>
          <w14:ligatures w14:val="none"/>
        </w:rPr>
        <w:t>- which include l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and acquisition or allocation</w:t>
      </w:r>
      <w:r w:rsidRPr="006F7C1A">
        <w:rPr>
          <w:rFonts w:ascii="Times New Roman" w:eastAsia="Times New Roman" w:hAnsi="Times New Roman" w:cs="Times New Roman"/>
          <w:kern w:val="0"/>
          <w14:ligatures w14:val="none"/>
        </w:rPr>
        <w:t>, E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 xml:space="preserve">nvironmental Impact Assessment (EIA) </w:t>
      </w:r>
      <w:r w:rsidRPr="006F7C1A">
        <w:rPr>
          <w:rFonts w:ascii="Times New Roman" w:eastAsia="Times New Roman" w:hAnsi="Times New Roman" w:cs="Times New Roman"/>
          <w:kern w:val="0"/>
          <w14:ligatures w14:val="none"/>
        </w:rPr>
        <w:t>including d</w:t>
      </w:r>
      <w:r w:rsidR="00764D5D" w:rsidRPr="00764D5D">
        <w:rPr>
          <w:rFonts w:ascii="Times New Roman" w:eastAsia="Times New Roman" w:hAnsi="Times New Roman" w:cs="Times New Roman"/>
          <w:kern w:val="0"/>
          <w14:ligatures w14:val="none"/>
        </w:rPr>
        <w:t>isaster resilience and flood-safety compliance approvals</w:t>
      </w:r>
    </w:p>
    <w:p w14:paraId="199D4400" w14:textId="00E163A0" w:rsidR="00764D5D" w:rsidRPr="00764D5D" w:rsidRDefault="00764D5D" w:rsidP="001748EC">
      <w:pPr>
        <w:pStyle w:val="ListParagraph"/>
        <w:numPr>
          <w:ilvl w:val="0"/>
          <w:numId w:val="11"/>
        </w:numPr>
        <w:spacing w:before="100"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6F7C1A">
        <w:rPr>
          <w:rFonts w:ascii="Times New Roman" w:eastAsia="Times New Roman" w:hAnsi="Times New Roman" w:cs="Times New Roman"/>
          <w:kern w:val="0"/>
          <w14:ligatures w14:val="none"/>
        </w:rPr>
        <w:t xml:space="preserve">Design </w:t>
      </w:r>
      <w:r w:rsidR="00926614">
        <w:rPr>
          <w:rFonts w:ascii="Times New Roman" w:eastAsia="Times New Roman" w:hAnsi="Times New Roman" w:cs="Times New Roman"/>
          <w:kern w:val="0"/>
          <w14:ligatures w14:val="none"/>
        </w:rPr>
        <w:t>the building complex</w:t>
      </w:r>
      <w:r w:rsidR="006F7C1A" w:rsidRPr="006F7C1A">
        <w:rPr>
          <w:rFonts w:ascii="Times New Roman" w:eastAsia="Times New Roman" w:hAnsi="Times New Roman" w:cs="Times New Roman"/>
          <w:kern w:val="0"/>
          <w14:ligatures w14:val="none"/>
        </w:rPr>
        <w:t>, which includes the evaluation of existing m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aster planning of the new Faculty complex</w:t>
      </w:r>
      <w:r w:rsidR="006F7C1A" w:rsidRPr="006F7C1A">
        <w:rPr>
          <w:rFonts w:ascii="Times New Roman" w:eastAsia="Times New Roman" w:hAnsi="Times New Roman" w:cs="Times New Roman"/>
          <w:kern w:val="0"/>
          <w14:ligatures w14:val="none"/>
        </w:rPr>
        <w:t xml:space="preserve"> including a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 xml:space="preserve">rchitectural design </w:t>
      </w:r>
    </w:p>
    <w:p w14:paraId="17827C36" w14:textId="408658A8" w:rsidR="00764D5D" w:rsidRPr="00764D5D" w:rsidRDefault="00764D5D" w:rsidP="0080258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26614">
        <w:rPr>
          <w:rFonts w:ascii="Times New Roman" w:eastAsia="Times New Roman" w:hAnsi="Times New Roman" w:cs="Times New Roman"/>
          <w:kern w:val="0"/>
          <w14:ligatures w14:val="none"/>
        </w:rPr>
        <w:t>Construction &amp; Infrastructure Development</w:t>
      </w:r>
      <w:r w:rsidR="006F7C1A" w:rsidRPr="00926614">
        <w:rPr>
          <w:rFonts w:ascii="Times New Roman" w:eastAsia="Times New Roman" w:hAnsi="Times New Roman" w:cs="Times New Roman"/>
          <w:kern w:val="0"/>
          <w14:ligatures w14:val="none"/>
        </w:rPr>
        <w:t>- which include s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ite clearing and land</w:t>
      </w:r>
      <w:r w:rsidR="006F7C1A"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scaping, 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onstruction of buildings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 and support facilities including 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internal roads, pathways, and parking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drainage and stormwater management systems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2661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tility connections (electricity, water, ICT, internet)</w:t>
      </w:r>
    </w:p>
    <w:p w14:paraId="49831913" w14:textId="5A505E66" w:rsidR="00926614" w:rsidRPr="00621656" w:rsidRDefault="00764D5D" w:rsidP="0092661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Relocation </w:t>
      </w:r>
      <w:r w:rsidR="00926614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 Transition Activities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>, which include d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evelopment of a relocation and transition plan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>, p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rocurement of furniture, equipment, and ICT facilities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>, p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acking and transportation of existing assets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>, i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nstallation and commissioning of equipment at the new site</w:t>
      </w:r>
      <w:r w:rsidR="00926614" w:rsidRPr="0092661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926614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764D5D">
        <w:rPr>
          <w:rFonts w:ascii="Times New Roman" w:eastAsia="Times New Roman" w:hAnsi="Times New Roman" w:cs="Times New Roman"/>
          <w:kern w:val="0"/>
          <w14:ligatures w14:val="none"/>
        </w:rPr>
        <w:t>hased relocation of departments to minimize academic disruption</w:t>
      </w:r>
      <w:r w:rsidR="0092661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1E7DAF3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B19021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B453ED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0CDC12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4849DF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6C3752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028F92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B8E80B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2E3DFE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E01C89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674F3D" w14:textId="77777777" w:rsidR="00B80A59" w:rsidRDefault="00B80A59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A84AAD" w14:textId="0BB36646" w:rsidR="008344CA" w:rsidRPr="00211260" w:rsidRDefault="00A84942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11260">
        <w:rPr>
          <w:rFonts w:ascii="Times New Roman" w:hAnsi="Times New Roman" w:cs="Times New Roman"/>
          <w:b/>
          <w:bCs/>
        </w:rPr>
        <w:t xml:space="preserve">Figure 1: </w:t>
      </w:r>
      <w:r w:rsidR="008344CA" w:rsidRPr="00211260">
        <w:rPr>
          <w:rFonts w:ascii="Times New Roman" w:hAnsi="Times New Roman" w:cs="Times New Roman"/>
          <w:b/>
          <w:bCs/>
        </w:rPr>
        <w:t xml:space="preserve">Work packages and the Phases of Recovery </w:t>
      </w:r>
    </w:p>
    <w:p w14:paraId="173B533F" w14:textId="6D80FAB0" w:rsidR="00965B49" w:rsidRPr="00211260" w:rsidRDefault="00CD6DD5" w:rsidP="0021126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112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8D10C" wp14:editId="73A67DE6">
                <wp:simplePos x="0" y="0"/>
                <wp:positionH relativeFrom="column">
                  <wp:posOffset>2731770</wp:posOffset>
                </wp:positionH>
                <wp:positionV relativeFrom="paragraph">
                  <wp:posOffset>3234055</wp:posOffset>
                </wp:positionV>
                <wp:extent cx="308610" cy="175260"/>
                <wp:effectExtent l="38100" t="0" r="0" b="34290"/>
                <wp:wrapNone/>
                <wp:docPr id="150422805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75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98B8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15.1pt;margin-top:254.65pt;width:24.3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nd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" adj="10800" fillcolor="#4472c4 [3204]" strokecolor="#09101d [484]" strokeweight="1pt"/>
            </w:pict>
          </mc:Fallback>
        </mc:AlternateContent>
      </w:r>
      <w:r w:rsidR="00965B49" w:rsidRPr="00211260">
        <w:rPr>
          <w:rFonts w:ascii="Times New Roman" w:hAnsi="Times New Roman" w:cs="Times New Roman"/>
          <w:noProof/>
        </w:rPr>
        <w:drawing>
          <wp:inline distT="0" distB="0" distL="0" distR="0" wp14:anchorId="76D95C9F" wp14:editId="7BEC3B0D">
            <wp:extent cx="6187440" cy="3215640"/>
            <wp:effectExtent l="0" t="0" r="22860" b="22860"/>
            <wp:docPr id="206243405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9F56117" w14:textId="644CB322" w:rsidR="00965B49" w:rsidRPr="00211260" w:rsidRDefault="00965B49" w:rsidP="002112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9A9AF4" w14:textId="79E46C17" w:rsidR="00965B49" w:rsidRPr="00211260" w:rsidRDefault="00CD6DD5" w:rsidP="00211260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126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3B245" wp14:editId="312FD462">
                <wp:simplePos x="0" y="0"/>
                <wp:positionH relativeFrom="column">
                  <wp:posOffset>647700</wp:posOffset>
                </wp:positionH>
                <wp:positionV relativeFrom="paragraph">
                  <wp:posOffset>71120</wp:posOffset>
                </wp:positionV>
                <wp:extent cx="4655820" cy="518160"/>
                <wp:effectExtent l="0" t="0" r="11430" b="15240"/>
                <wp:wrapNone/>
                <wp:docPr id="3530958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2CBB9" w14:textId="77777777" w:rsidR="00CD6DD5" w:rsidRPr="00CD6DD5" w:rsidRDefault="00965B49" w:rsidP="00CD6DD5">
                            <w:pPr>
                              <w:tabs>
                                <w:tab w:val="left" w:pos="1549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D6DD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PHASE IV– </w:t>
                            </w:r>
                            <w:r w:rsidR="00926614" w:rsidRPr="00CD6DD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Relocation of Faculty Building Complex</w:t>
                            </w:r>
                          </w:p>
                          <w:p w14:paraId="5FE6F236" w14:textId="0FDC01EE" w:rsidR="00EE3603" w:rsidRPr="00FB29DE" w:rsidRDefault="00926614" w:rsidP="00CD6DD5">
                            <w:pPr>
                              <w:tabs>
                                <w:tab w:val="left" w:pos="1549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FB29DE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29D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Relocation Planning, Designing </w:t>
                            </w:r>
                            <w:r w:rsidR="00CD6DD5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and C</w:t>
                            </w:r>
                            <w:r w:rsidRPr="00FB29D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onstruction and relocation </w:t>
                            </w:r>
                            <w:r w:rsidR="00EE3603" w:rsidRPr="00FB29D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D92FC6" w14:textId="77777777" w:rsidR="00EE3603" w:rsidRPr="00965B49" w:rsidRDefault="00EE3603" w:rsidP="00CD6DD5">
                            <w:pPr>
                              <w:tabs>
                                <w:tab w:val="left" w:pos="1549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50B50F5" w14:textId="77777777" w:rsidR="00965B49" w:rsidRDefault="00965B49" w:rsidP="00965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3B245" id="Rectangle: Rounded Corners 2" o:spid="_x0000_s1026" style="position:absolute;margin-left:51pt;margin-top:5.6pt;width:366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" fillcolor="#4472c4 [3204]" strokecolor="#09101d [484]" strokeweight="1pt">
                <v:stroke joinstyle="miter"/>
                <v:textbox>
                  <w:txbxContent>
                    <w:p w14:paraId="0642CBB9" w14:textId="77777777" w:rsidR="00CD6DD5" w:rsidRPr="00CD6DD5" w:rsidRDefault="00965B49" w:rsidP="00CD6DD5">
                      <w:pPr>
                        <w:tabs>
                          <w:tab w:val="left" w:pos="1549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CD6DD5">
                        <w:rPr>
                          <w:rFonts w:cstheme="minorHAnsi"/>
                          <w:b/>
                          <w:bCs/>
                        </w:rPr>
                        <w:t xml:space="preserve">PHASE IV– </w:t>
                      </w:r>
                      <w:r w:rsidR="00926614" w:rsidRPr="00CD6DD5">
                        <w:rPr>
                          <w:rFonts w:cstheme="minorHAnsi"/>
                          <w:b/>
                          <w:bCs/>
                        </w:rPr>
                        <w:t xml:space="preserve"> Relocation of Faculty Building Complex</w:t>
                      </w:r>
                    </w:p>
                    <w:p w14:paraId="5FE6F236" w14:textId="0FDC01EE" w:rsidR="00EE3603" w:rsidRPr="00FB29DE" w:rsidRDefault="00926614" w:rsidP="00CD6DD5">
                      <w:pPr>
                        <w:tabs>
                          <w:tab w:val="left" w:pos="1549"/>
                        </w:tabs>
                        <w:spacing w:after="0" w:line="240" w:lineRule="auto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FB29DE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B29DE">
                        <w:rPr>
                          <w:rFonts w:cstheme="minorHAnsi"/>
                          <w:sz w:val="22"/>
                          <w:szCs w:val="22"/>
                        </w:rPr>
                        <w:t xml:space="preserve">Relocation Planning, Designing </w:t>
                      </w:r>
                      <w:r w:rsidR="00CD6DD5">
                        <w:rPr>
                          <w:rFonts w:cstheme="minorHAnsi"/>
                          <w:sz w:val="22"/>
                          <w:szCs w:val="22"/>
                        </w:rPr>
                        <w:t>and C</w:t>
                      </w:r>
                      <w:r w:rsidRPr="00FB29DE">
                        <w:rPr>
                          <w:rFonts w:cstheme="minorHAnsi"/>
                          <w:sz w:val="22"/>
                          <w:szCs w:val="22"/>
                        </w:rPr>
                        <w:t xml:space="preserve">onstruction and relocation </w:t>
                      </w:r>
                      <w:r w:rsidR="00EE3603" w:rsidRPr="00FB29D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D92FC6" w14:textId="77777777" w:rsidR="00EE3603" w:rsidRPr="00965B49" w:rsidRDefault="00EE3603" w:rsidP="00CD6DD5">
                      <w:pPr>
                        <w:tabs>
                          <w:tab w:val="left" w:pos="1549"/>
                        </w:tabs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50B50F5" w14:textId="77777777" w:rsidR="00965B49" w:rsidRDefault="00965B49" w:rsidP="00965B4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7375631" w14:textId="5E0B7DC2" w:rsidR="00965B49" w:rsidRPr="00211260" w:rsidRDefault="00965B49" w:rsidP="00211260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1260">
        <w:rPr>
          <w:rFonts w:ascii="Times New Roman" w:hAnsi="Times New Roman" w:cs="Times New Roman"/>
          <w:sz w:val="22"/>
          <w:szCs w:val="22"/>
        </w:rPr>
        <w:t xml:space="preserve">       </w:t>
      </w:r>
    </w:p>
    <w:p w14:paraId="70F23737" w14:textId="649FEE94" w:rsidR="00965B49" w:rsidRPr="00211260" w:rsidRDefault="00965B49" w:rsidP="00211260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3D39A3" w14:textId="108076A8" w:rsidR="00965B49" w:rsidRPr="00211260" w:rsidRDefault="00965B49" w:rsidP="00211260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3ACAAC" w14:textId="618766B9" w:rsidR="00C34A88" w:rsidRPr="00211260" w:rsidRDefault="00C34A88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01: Proposed Work </w:t>
      </w:r>
      <w:r w:rsidR="002305B8">
        <w:rPr>
          <w:rFonts w:ascii="Times New Roman" w:hAnsi="Times New Roman" w:cs="Times New Roman"/>
          <w:b/>
          <w:bCs/>
          <w:sz w:val="22"/>
          <w:szCs w:val="22"/>
        </w:rPr>
        <w:t xml:space="preserve">Packages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and Tasks </w:t>
      </w:r>
    </w:p>
    <w:tbl>
      <w:tblPr>
        <w:tblStyle w:val="TableGrid"/>
        <w:tblW w:w="105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4"/>
        <w:gridCol w:w="540"/>
        <w:gridCol w:w="1440"/>
        <w:gridCol w:w="4230"/>
        <w:gridCol w:w="2790"/>
        <w:gridCol w:w="810"/>
      </w:tblGrid>
      <w:tr w:rsidR="00E44311" w:rsidRPr="00211260" w14:paraId="0E513180" w14:textId="77777777" w:rsidTr="00D02659">
        <w:trPr>
          <w:trHeight w:val="624"/>
        </w:trPr>
        <w:tc>
          <w:tcPr>
            <w:tcW w:w="734" w:type="dxa"/>
          </w:tcPr>
          <w:p w14:paraId="5163420A" w14:textId="7E4643CB" w:rsidR="00D95DB6" w:rsidRPr="00211260" w:rsidRDefault="00D95DB6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package</w:t>
            </w:r>
          </w:p>
        </w:tc>
        <w:tc>
          <w:tcPr>
            <w:tcW w:w="540" w:type="dxa"/>
            <w:hideMark/>
          </w:tcPr>
          <w:p w14:paraId="2CBB8B45" w14:textId="41C583EF" w:rsidR="00D95DB6" w:rsidRPr="00211260" w:rsidRDefault="00D95DB6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440" w:type="dxa"/>
            <w:hideMark/>
          </w:tcPr>
          <w:p w14:paraId="31DA948F" w14:textId="0A4C1ACD" w:rsidR="00D95DB6" w:rsidRPr="00211260" w:rsidRDefault="00D95DB6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Tasks  </w:t>
            </w:r>
          </w:p>
        </w:tc>
        <w:tc>
          <w:tcPr>
            <w:tcW w:w="4230" w:type="dxa"/>
            <w:hideMark/>
          </w:tcPr>
          <w:p w14:paraId="2981F829" w14:textId="3A36008E" w:rsidR="00D95DB6" w:rsidRPr="00211260" w:rsidRDefault="00D95DB6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Description of </w:t>
            </w:r>
            <w:r w:rsidR="00C3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Tasks </w:t>
            </w:r>
          </w:p>
        </w:tc>
        <w:tc>
          <w:tcPr>
            <w:tcW w:w="2790" w:type="dxa"/>
            <w:hideMark/>
          </w:tcPr>
          <w:p w14:paraId="7A19F7EF" w14:textId="77777777" w:rsidR="00D95DB6" w:rsidRPr="00211260" w:rsidRDefault="00D95DB6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/ Scope</w:t>
            </w:r>
          </w:p>
        </w:tc>
        <w:tc>
          <w:tcPr>
            <w:tcW w:w="810" w:type="dxa"/>
            <w:hideMark/>
          </w:tcPr>
          <w:p w14:paraId="5149911F" w14:textId="050FF824" w:rsidR="00D95DB6" w:rsidRPr="00211260" w:rsidRDefault="00D95DB6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Cost (LKR)</w:t>
            </w:r>
          </w:p>
        </w:tc>
      </w:tr>
      <w:tr w:rsidR="00E44311" w:rsidRPr="00211260" w14:paraId="44ED81E8" w14:textId="77777777" w:rsidTr="00D02659">
        <w:trPr>
          <w:trHeight w:val="1349"/>
        </w:trPr>
        <w:tc>
          <w:tcPr>
            <w:tcW w:w="734" w:type="dxa"/>
            <w:vMerge w:val="restart"/>
          </w:tcPr>
          <w:p w14:paraId="7B73AECD" w14:textId="7B5DCCCC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WP1</w:t>
            </w:r>
          </w:p>
        </w:tc>
        <w:tc>
          <w:tcPr>
            <w:tcW w:w="540" w:type="dxa"/>
            <w:hideMark/>
          </w:tcPr>
          <w:p w14:paraId="5BE4A9CE" w14:textId="53A84D7A" w:rsidR="00980BDC" w:rsidRPr="00D02659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7182" w:rsidRPr="00D0265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hideMark/>
          </w:tcPr>
          <w:p w14:paraId="6E53276A" w14:textId="77777777" w:rsidR="00980BDC" w:rsidRPr="00E44311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Restoration and Commissioning of Electrical Infrastructure</w:t>
            </w:r>
          </w:p>
        </w:tc>
        <w:tc>
          <w:tcPr>
            <w:tcW w:w="4230" w:type="dxa"/>
            <w:hideMark/>
          </w:tcPr>
          <w:p w14:paraId="071BF6B6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Complete electrical rewiring; replacement of distribution boards and circuit breakers; installation of new sockets and switches; restoration of main and sub power panels; full electrical safety testing; installation of lighting fixtures and establishment of the auditorium lighting system.</w:t>
            </w:r>
          </w:p>
        </w:tc>
        <w:tc>
          <w:tcPr>
            <w:tcW w:w="2790" w:type="dxa"/>
            <w:hideMark/>
          </w:tcPr>
          <w:p w14:paraId="56D4587E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Entire Faculty Premises</w:t>
            </w:r>
          </w:p>
        </w:tc>
        <w:tc>
          <w:tcPr>
            <w:tcW w:w="810" w:type="dxa"/>
            <w:hideMark/>
          </w:tcPr>
          <w:p w14:paraId="2B53B257" w14:textId="0DB64734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4DD2">
              <w:rPr>
                <w:rFonts w:ascii="Times New Roman" w:hAnsi="Times New Roman" w:cs="Times New Roman"/>
                <w:sz w:val="20"/>
                <w:szCs w:val="20"/>
              </w:rPr>
              <w:t>5Millions</w:t>
            </w:r>
          </w:p>
        </w:tc>
      </w:tr>
      <w:tr w:rsidR="00E44311" w:rsidRPr="00211260" w14:paraId="33B0E098" w14:textId="77777777" w:rsidTr="00D02659">
        <w:trPr>
          <w:trHeight w:val="953"/>
        </w:trPr>
        <w:tc>
          <w:tcPr>
            <w:tcW w:w="734" w:type="dxa"/>
            <w:vMerge/>
          </w:tcPr>
          <w:p w14:paraId="1D2C8569" w14:textId="17CF00C9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669D7400" w14:textId="3421380C" w:rsidR="00980BDC" w:rsidRPr="00D02659" w:rsidRDefault="00627182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40" w:type="dxa"/>
            <w:hideMark/>
          </w:tcPr>
          <w:p w14:paraId="41781238" w14:textId="77777777" w:rsidR="00980BDC" w:rsidRPr="00E44311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Network Infrastructure Reconstruction</w:t>
            </w:r>
          </w:p>
        </w:tc>
        <w:tc>
          <w:tcPr>
            <w:tcW w:w="4230" w:type="dxa"/>
            <w:hideMark/>
          </w:tcPr>
          <w:p w14:paraId="365FCF9A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new fiber and copper cabling; replacement of network switches and routers; installation of server racks; restoration of wired and wireless (WIFI) network connectivity.</w:t>
            </w:r>
          </w:p>
        </w:tc>
        <w:tc>
          <w:tcPr>
            <w:tcW w:w="2790" w:type="dxa"/>
            <w:hideMark/>
          </w:tcPr>
          <w:p w14:paraId="14AC17F2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Faculty Premises</w:t>
            </w:r>
          </w:p>
        </w:tc>
        <w:tc>
          <w:tcPr>
            <w:tcW w:w="810" w:type="dxa"/>
            <w:hideMark/>
          </w:tcPr>
          <w:p w14:paraId="291F5FF4" w14:textId="49BB647D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4DD2">
              <w:rPr>
                <w:rFonts w:ascii="Times New Roman" w:hAnsi="Times New Roman" w:cs="Times New Roman"/>
                <w:sz w:val="20"/>
                <w:szCs w:val="20"/>
              </w:rPr>
              <w:t>2Millions</w:t>
            </w:r>
          </w:p>
        </w:tc>
      </w:tr>
      <w:tr w:rsidR="00E44311" w:rsidRPr="00211260" w14:paraId="461BE498" w14:textId="77777777" w:rsidTr="00D02659">
        <w:trPr>
          <w:trHeight w:val="440"/>
        </w:trPr>
        <w:tc>
          <w:tcPr>
            <w:tcW w:w="734" w:type="dxa"/>
            <w:vMerge/>
          </w:tcPr>
          <w:p w14:paraId="4769D4B2" w14:textId="0C94252C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32B46EB9" w14:textId="7A798F35" w:rsidR="00980BDC" w:rsidRPr="00D02659" w:rsidRDefault="00627182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B29DE" w:rsidRPr="00D026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hideMark/>
          </w:tcPr>
          <w:p w14:paraId="4F08818D" w14:textId="77777777" w:rsidR="00980BDC" w:rsidRPr="00E44311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Establishment and Commissioning of Telephone System</w:t>
            </w:r>
          </w:p>
        </w:tc>
        <w:tc>
          <w:tcPr>
            <w:tcW w:w="4230" w:type="dxa"/>
            <w:hideMark/>
          </w:tcPr>
          <w:p w14:paraId="145EEFF7" w14:textId="296D3586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Repair and replacement of intercom systems and direct telephone lines. Includes installation for 10 direct lines and 20 intercom connections. </w:t>
            </w:r>
          </w:p>
        </w:tc>
        <w:tc>
          <w:tcPr>
            <w:tcW w:w="2790" w:type="dxa"/>
            <w:hideMark/>
          </w:tcPr>
          <w:p w14:paraId="1928A63B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Three Buildings</w:t>
            </w:r>
          </w:p>
        </w:tc>
        <w:tc>
          <w:tcPr>
            <w:tcW w:w="810" w:type="dxa"/>
            <w:noWrap/>
            <w:hideMark/>
          </w:tcPr>
          <w:p w14:paraId="477DF48F" w14:textId="589111EA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4DD2">
              <w:rPr>
                <w:rFonts w:ascii="Times New Roman" w:hAnsi="Times New Roman" w:cs="Times New Roman"/>
                <w:sz w:val="20"/>
                <w:szCs w:val="20"/>
              </w:rPr>
              <w:t>1Million</w:t>
            </w:r>
          </w:p>
        </w:tc>
      </w:tr>
      <w:tr w:rsidR="005F3376" w:rsidRPr="00211260" w14:paraId="027E101A" w14:textId="77777777" w:rsidTr="00D02659">
        <w:trPr>
          <w:trHeight w:val="1700"/>
        </w:trPr>
        <w:tc>
          <w:tcPr>
            <w:tcW w:w="734" w:type="dxa"/>
            <w:vMerge/>
          </w:tcPr>
          <w:p w14:paraId="1994D662" w14:textId="08CEE2D6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5DE227AF" w14:textId="22F4F753" w:rsidR="00E44311" w:rsidRPr="00D02659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B29DE" w:rsidRPr="00D026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2216ED3" w14:textId="64C6FDAC" w:rsidR="00E44311" w:rsidRPr="00D02659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76F96466" w14:textId="29789838" w:rsidR="00E44311" w:rsidRPr="00D02659" w:rsidRDefault="00E44311" w:rsidP="002112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 xml:space="preserve">Repair of Lobby, </w:t>
            </w:r>
          </w:p>
          <w:p w14:paraId="4AFF2859" w14:textId="0EAE48D3" w:rsidR="00E44311" w:rsidRPr="00D02659" w:rsidRDefault="00E44311" w:rsidP="002112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 xml:space="preserve">Water Tanks, Fire Extinguishers &amp; Fire Alarm System and </w:t>
            </w:r>
          </w:p>
          <w:p w14:paraId="07A577B6" w14:textId="39BBB9E5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>Replacement of Cameras</w:t>
            </w:r>
          </w:p>
        </w:tc>
        <w:tc>
          <w:tcPr>
            <w:tcW w:w="4230" w:type="dxa"/>
            <w:hideMark/>
          </w:tcPr>
          <w:p w14:paraId="71EE39AF" w14:textId="314513BE" w:rsidR="00E44311" w:rsidRPr="00211260" w:rsidRDefault="00E44311" w:rsidP="00D0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of cushioned chairs (40 units), 55” televisions (02 units), digital notice board (01), and reception table (01).</w:t>
            </w:r>
            <w:r w:rsidR="00D0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and commissioning of 5000-liter water tanks.</w:t>
            </w:r>
            <w:r w:rsidR="00D0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new fire extinguishers and upgrading of the fire alarm system.</w:t>
            </w:r>
            <w:r w:rsidR="00D0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Procurement and installation of 2 video cameras and 1 still camera.</w:t>
            </w:r>
          </w:p>
        </w:tc>
        <w:tc>
          <w:tcPr>
            <w:tcW w:w="2790" w:type="dxa"/>
            <w:hideMark/>
          </w:tcPr>
          <w:p w14:paraId="67CA6DB8" w14:textId="77777777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Three Buildings</w:t>
            </w:r>
          </w:p>
          <w:p w14:paraId="5B27F418" w14:textId="4A15A519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26709917" w14:textId="77777777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8ADC073" w14:textId="24D1A6D8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4C20">
              <w:rPr>
                <w:rFonts w:ascii="Times New Roman" w:hAnsi="Times New Roman" w:cs="Times New Roman"/>
                <w:sz w:val="20"/>
                <w:szCs w:val="20"/>
              </w:rPr>
              <w:t>10Millions</w:t>
            </w:r>
          </w:p>
          <w:p w14:paraId="4CBCE55A" w14:textId="77777777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CC30EF" w14:textId="05B784EA" w:rsidR="00E44311" w:rsidRPr="00211260" w:rsidRDefault="00E44311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4311" w:rsidRPr="00211260" w14:paraId="29690788" w14:textId="77777777" w:rsidTr="00D02659">
        <w:trPr>
          <w:trHeight w:val="620"/>
        </w:trPr>
        <w:tc>
          <w:tcPr>
            <w:tcW w:w="734" w:type="dxa"/>
            <w:vMerge/>
          </w:tcPr>
          <w:p w14:paraId="57B502EB" w14:textId="535BDC18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1CF30878" w14:textId="467C9D64" w:rsidR="00980BDC" w:rsidRPr="00D02659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7182" w:rsidRPr="00D02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29DE" w:rsidRPr="00D026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hideMark/>
          </w:tcPr>
          <w:p w14:paraId="3298A1DC" w14:textId="77777777" w:rsidR="00980BDC" w:rsidRPr="00E44311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Road Repairs</w:t>
            </w:r>
          </w:p>
        </w:tc>
        <w:tc>
          <w:tcPr>
            <w:tcW w:w="4230" w:type="dxa"/>
            <w:hideMark/>
          </w:tcPr>
          <w:p w14:paraId="24864C97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Cleaning, leveling, and carpeting of internal access roads, including the main entrance road and connecting roads to other buildings.</w:t>
            </w:r>
          </w:p>
        </w:tc>
        <w:tc>
          <w:tcPr>
            <w:tcW w:w="2790" w:type="dxa"/>
            <w:hideMark/>
          </w:tcPr>
          <w:p w14:paraId="4F350443" w14:textId="77777777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Faculty Road Network</w:t>
            </w:r>
          </w:p>
        </w:tc>
        <w:tc>
          <w:tcPr>
            <w:tcW w:w="810" w:type="dxa"/>
            <w:noWrap/>
            <w:hideMark/>
          </w:tcPr>
          <w:p w14:paraId="3FF15C27" w14:textId="19FA69FD" w:rsidR="00980BDC" w:rsidRPr="00211260" w:rsidRDefault="00980BDC" w:rsidP="00211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4C20">
              <w:rPr>
                <w:rFonts w:ascii="Times New Roman" w:hAnsi="Times New Roman" w:cs="Times New Roman"/>
                <w:sz w:val="20"/>
                <w:szCs w:val="20"/>
              </w:rPr>
              <w:t>3Millions</w:t>
            </w:r>
          </w:p>
        </w:tc>
      </w:tr>
      <w:tr w:rsidR="00123414" w:rsidRPr="00211260" w14:paraId="67E4EFE2" w14:textId="77777777" w:rsidTr="00B861A7">
        <w:trPr>
          <w:trHeight w:val="620"/>
        </w:trPr>
        <w:tc>
          <w:tcPr>
            <w:tcW w:w="734" w:type="dxa"/>
            <w:tcBorders>
              <w:top w:val="nil"/>
            </w:tcBorders>
          </w:tcPr>
          <w:p w14:paraId="07B943F8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97127FB" w14:textId="54D3B0B4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440" w:type="dxa"/>
          </w:tcPr>
          <w:p w14:paraId="3517AC70" w14:textId="7FBD33A1" w:rsidR="00123414" w:rsidRPr="00E44311" w:rsidRDefault="00505601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01">
              <w:rPr>
                <w:rFonts w:ascii="Times New Roman" w:hAnsi="Times New Roman" w:cs="Times New Roman"/>
                <w:sz w:val="20"/>
                <w:szCs w:val="20"/>
              </w:rPr>
              <w:t>Repairing Walls &amp; Painting</w:t>
            </w:r>
          </w:p>
        </w:tc>
        <w:tc>
          <w:tcPr>
            <w:tcW w:w="4230" w:type="dxa"/>
          </w:tcPr>
          <w:p w14:paraId="683F1FE0" w14:textId="0EDA1DD2" w:rsidR="00123414" w:rsidRPr="00211260" w:rsidRDefault="00505601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601">
              <w:rPr>
                <w:rFonts w:ascii="Times New Roman" w:hAnsi="Times New Roman" w:cs="Times New Roman"/>
                <w:sz w:val="20"/>
                <w:szCs w:val="20"/>
              </w:rPr>
              <w:t>Surface preparation with putty application; high-quality interior and exterior wall and ceiling painting.</w:t>
            </w:r>
          </w:p>
        </w:tc>
        <w:tc>
          <w:tcPr>
            <w:tcW w:w="2790" w:type="dxa"/>
          </w:tcPr>
          <w:p w14:paraId="35DD58B2" w14:textId="77777777" w:rsidR="00505601" w:rsidRPr="00211260" w:rsidRDefault="00505601" w:rsidP="0050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Three Buildings</w:t>
            </w:r>
          </w:p>
          <w:p w14:paraId="58B6B063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noWrap/>
          </w:tcPr>
          <w:p w14:paraId="7399A1E6" w14:textId="66FF5929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2Million</w:t>
            </w:r>
          </w:p>
        </w:tc>
      </w:tr>
      <w:tr w:rsidR="00123414" w:rsidRPr="00211260" w14:paraId="045288F2" w14:textId="77777777" w:rsidTr="00D02659">
        <w:trPr>
          <w:trHeight w:val="2528"/>
        </w:trPr>
        <w:tc>
          <w:tcPr>
            <w:tcW w:w="734" w:type="dxa"/>
            <w:vMerge w:val="restart"/>
          </w:tcPr>
          <w:p w14:paraId="6FE60B91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WP2</w:t>
            </w:r>
          </w:p>
          <w:p w14:paraId="7CF7A801" w14:textId="52EAFAC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75B21FC2" w14:textId="0EB7E4E7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3AE2A29A" w14:textId="1FCD6EED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72032B07" w14:textId="196E2680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Renovation of Dean’s Room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69557" w14:textId="14AA0DBB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 xml:space="preserve">Office of the Dean and  </w:t>
            </w:r>
          </w:p>
          <w:p w14:paraId="2384B5BB" w14:textId="5688E430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 xml:space="preserve">Accounts Branch </w:t>
            </w:r>
          </w:p>
        </w:tc>
        <w:tc>
          <w:tcPr>
            <w:tcW w:w="4230" w:type="dxa"/>
            <w:hideMark/>
          </w:tcPr>
          <w:p w14:paraId="5344F69A" w14:textId="2B417CC5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Provision of laptop; smart board;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sofa set; conference table and chairs; cupboards; installation of air-conditioning; printer setup; provision of a high-back 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office furniture; multi-purpose photocopiers; printers; workspace reorganization.</w:t>
            </w:r>
          </w:p>
          <w:p w14:paraId="353C7ADC" w14:textId="549B5B05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hideMark/>
          </w:tcPr>
          <w:p w14:paraId="6C421F0A" w14:textId="1CA8F93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 (06),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Smart Board (01), Sofa Set (01), Conference Table (01), Chairs (06), Cupboards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), AC (01), Printer (05), High Back Chair (01), Multi-Purpose Photocopiers (02), Printers (06), Furniture: Computer Tables (11), Executive Table (02), Executive Chair (02), Photocopier (01), Cheque Printer (01)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  <w:hideMark/>
          </w:tcPr>
          <w:p w14:paraId="1D7937D5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E5FA5FE" w14:textId="569F858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7.5Millions</w:t>
            </w:r>
          </w:p>
          <w:p w14:paraId="3FADA9A9" w14:textId="466FE348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3414" w:rsidRPr="00211260" w14:paraId="3187D4D7" w14:textId="77777777" w:rsidTr="00D02659">
        <w:trPr>
          <w:trHeight w:val="1248"/>
        </w:trPr>
        <w:tc>
          <w:tcPr>
            <w:tcW w:w="734" w:type="dxa"/>
            <w:vMerge/>
          </w:tcPr>
          <w:p w14:paraId="248D9AA3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772378E" w14:textId="580FD8BA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440" w:type="dxa"/>
          </w:tcPr>
          <w:p w14:paraId="23CA2259" w14:textId="5DA5DEAE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Common Room Development</w:t>
            </w:r>
          </w:p>
        </w:tc>
        <w:tc>
          <w:tcPr>
            <w:tcW w:w="4230" w:type="dxa"/>
          </w:tcPr>
          <w:p w14:paraId="1C94690E" w14:textId="3F5C9AB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furniture and pantry facilities to enhance staff common area.</w:t>
            </w:r>
          </w:p>
        </w:tc>
        <w:tc>
          <w:tcPr>
            <w:tcW w:w="2790" w:type="dxa"/>
          </w:tcPr>
          <w:p w14:paraId="048F04D2" w14:textId="5EA75E34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Plates (40), Cups &amp; Saucers (100), Electric Kettles (02), Water Purification System (01), Trays (03), Dining Table (01), Chairs (06), Large-Scale Flask (01)</w:t>
            </w:r>
          </w:p>
        </w:tc>
        <w:tc>
          <w:tcPr>
            <w:tcW w:w="810" w:type="dxa"/>
          </w:tcPr>
          <w:p w14:paraId="7DB8B1BF" w14:textId="40D19B93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 Millions</w:t>
            </w:r>
          </w:p>
        </w:tc>
      </w:tr>
      <w:tr w:rsidR="00123414" w:rsidRPr="00211260" w14:paraId="06E12010" w14:textId="77777777" w:rsidTr="00D02659">
        <w:trPr>
          <w:trHeight w:val="935"/>
        </w:trPr>
        <w:tc>
          <w:tcPr>
            <w:tcW w:w="734" w:type="dxa"/>
            <w:vMerge/>
          </w:tcPr>
          <w:p w14:paraId="67124E0F" w14:textId="4CA61E1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1D2E91D0" w14:textId="055E72AA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40" w:type="dxa"/>
            <w:hideMark/>
          </w:tcPr>
          <w:p w14:paraId="1E9C9781" w14:textId="07AA4A39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 xml:space="preserve">Board Room Refurbishment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Committee Room</w:t>
            </w:r>
          </w:p>
        </w:tc>
        <w:tc>
          <w:tcPr>
            <w:tcW w:w="4230" w:type="dxa"/>
            <w:hideMark/>
          </w:tcPr>
          <w:p w14:paraId="786CF984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conference furniture; setup of multimedia presentation system; AC installation; audio-video conferencing system integration.</w:t>
            </w:r>
          </w:p>
        </w:tc>
        <w:tc>
          <w:tcPr>
            <w:tcW w:w="2790" w:type="dxa"/>
            <w:hideMark/>
          </w:tcPr>
          <w:p w14:paraId="07AD2C00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Executive Table (01), Conference Tables (04), </w:t>
            </w: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 (01),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Multimedia System (01)</w:t>
            </w:r>
          </w:p>
        </w:tc>
        <w:tc>
          <w:tcPr>
            <w:tcW w:w="810" w:type="dxa"/>
            <w:hideMark/>
          </w:tcPr>
          <w:p w14:paraId="197DB6F9" w14:textId="444A3DF4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 Millions</w:t>
            </w:r>
          </w:p>
        </w:tc>
      </w:tr>
      <w:tr w:rsidR="00123414" w:rsidRPr="00211260" w14:paraId="5385C4B9" w14:textId="77777777" w:rsidTr="00D02659">
        <w:trPr>
          <w:trHeight w:val="620"/>
        </w:trPr>
        <w:tc>
          <w:tcPr>
            <w:tcW w:w="734" w:type="dxa"/>
            <w:vMerge/>
          </w:tcPr>
          <w:p w14:paraId="525BA33E" w14:textId="2D2B32E8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0597C2BC" w14:textId="21303344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440" w:type="dxa"/>
            <w:hideMark/>
          </w:tcPr>
          <w:p w14:paraId="2A164D43" w14:textId="3F0523B3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Digitalization of Faculty Administration </w:t>
            </w:r>
          </w:p>
        </w:tc>
        <w:tc>
          <w:tcPr>
            <w:tcW w:w="4230" w:type="dxa"/>
            <w:hideMark/>
          </w:tcPr>
          <w:p w14:paraId="349EC833" w14:textId="1649C4A5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Installation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ERP for all faculty administration including students’ affairs. </w:t>
            </w:r>
          </w:p>
        </w:tc>
        <w:tc>
          <w:tcPr>
            <w:tcW w:w="2790" w:type="dxa"/>
            <w:hideMark/>
          </w:tcPr>
          <w:p w14:paraId="4A732398" w14:textId="10C1D54A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Customized ERP</w:t>
            </w:r>
          </w:p>
        </w:tc>
        <w:tc>
          <w:tcPr>
            <w:tcW w:w="810" w:type="dxa"/>
            <w:hideMark/>
          </w:tcPr>
          <w:p w14:paraId="3E295A9B" w14:textId="6F37948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1Millions</w:t>
            </w:r>
          </w:p>
        </w:tc>
      </w:tr>
      <w:tr w:rsidR="00123414" w:rsidRPr="00211260" w14:paraId="1C15FF06" w14:textId="77777777" w:rsidTr="00D02659">
        <w:trPr>
          <w:trHeight w:val="624"/>
        </w:trPr>
        <w:tc>
          <w:tcPr>
            <w:tcW w:w="734" w:type="dxa"/>
            <w:vMerge w:val="restart"/>
          </w:tcPr>
          <w:p w14:paraId="28971E2B" w14:textId="7931E1BE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WP3</w:t>
            </w:r>
          </w:p>
        </w:tc>
        <w:tc>
          <w:tcPr>
            <w:tcW w:w="540" w:type="dxa"/>
            <w:hideMark/>
          </w:tcPr>
          <w:p w14:paraId="4DD8D3EF" w14:textId="62F97ACC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40" w:type="dxa"/>
            <w:hideMark/>
          </w:tcPr>
          <w:p w14:paraId="124752CA" w14:textId="77777777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Lecturers’ Rooms Enhancement</w:t>
            </w:r>
          </w:p>
        </w:tc>
        <w:tc>
          <w:tcPr>
            <w:tcW w:w="4230" w:type="dxa"/>
            <w:hideMark/>
          </w:tcPr>
          <w:p w14:paraId="553FD67D" w14:textId="481C6B79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and installation of laptops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tables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and storage cupboards for academic staff.</w:t>
            </w:r>
          </w:p>
        </w:tc>
        <w:tc>
          <w:tcPr>
            <w:tcW w:w="2790" w:type="dxa"/>
            <w:hideMark/>
          </w:tcPr>
          <w:p w14:paraId="0D1461B7" w14:textId="0553DA20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Laptops (30),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Table (30),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Cupboards (20)</w:t>
            </w:r>
          </w:p>
        </w:tc>
        <w:tc>
          <w:tcPr>
            <w:tcW w:w="810" w:type="dxa"/>
            <w:hideMark/>
          </w:tcPr>
          <w:p w14:paraId="61F556F6" w14:textId="7CE3B6F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9Millions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3414" w:rsidRPr="00211260" w14:paraId="60CCD6F4" w14:textId="77777777" w:rsidTr="00D02659">
        <w:trPr>
          <w:trHeight w:val="863"/>
        </w:trPr>
        <w:tc>
          <w:tcPr>
            <w:tcW w:w="734" w:type="dxa"/>
            <w:vMerge/>
          </w:tcPr>
          <w:p w14:paraId="1C7776ED" w14:textId="74A509B0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12E552FD" w14:textId="71D9FEB3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40" w:type="dxa"/>
            <w:hideMark/>
          </w:tcPr>
          <w:p w14:paraId="02AD642B" w14:textId="77777777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Examination Printing Unit Setup</w:t>
            </w:r>
          </w:p>
        </w:tc>
        <w:tc>
          <w:tcPr>
            <w:tcW w:w="4230" w:type="dxa"/>
            <w:hideMark/>
          </w:tcPr>
          <w:p w14:paraId="50E87832" w14:textId="3B0A64C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Procurement and installation of photocopiers, RISO/Ricoh machines; configuration of equipment; prov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ision of required furniture.</w:t>
            </w:r>
          </w:p>
        </w:tc>
        <w:tc>
          <w:tcPr>
            <w:tcW w:w="2790" w:type="dxa"/>
            <w:hideMark/>
          </w:tcPr>
          <w:p w14:paraId="01580750" w14:textId="3C350FC3" w:rsidR="00123414" w:rsidRPr="006F046A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Photocopier (01), RISO Machines (02), Ricoh Machine (01)</w:t>
            </w:r>
          </w:p>
        </w:tc>
        <w:tc>
          <w:tcPr>
            <w:tcW w:w="810" w:type="dxa"/>
            <w:hideMark/>
          </w:tcPr>
          <w:p w14:paraId="291D36D2" w14:textId="3B031A02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2.4Millions</w:t>
            </w:r>
          </w:p>
        </w:tc>
      </w:tr>
      <w:tr w:rsidR="00123414" w:rsidRPr="00211260" w14:paraId="5D06DC21" w14:textId="77777777" w:rsidTr="00D02659">
        <w:trPr>
          <w:trHeight w:val="620"/>
        </w:trPr>
        <w:tc>
          <w:tcPr>
            <w:tcW w:w="734" w:type="dxa"/>
            <w:vMerge/>
          </w:tcPr>
          <w:p w14:paraId="606846D4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B7214CD" w14:textId="0E007718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440" w:type="dxa"/>
          </w:tcPr>
          <w:p w14:paraId="0294B187" w14:textId="01098B88" w:rsidR="00123414" w:rsidRPr="00E44311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311">
              <w:rPr>
                <w:rFonts w:ascii="Times New Roman" w:hAnsi="Times New Roman" w:cs="Times New Roman"/>
                <w:sz w:val="20"/>
                <w:szCs w:val="20"/>
              </w:rPr>
              <w:t>IT Laboratory Reconstruction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(02 Labs)</w:t>
            </w:r>
          </w:p>
        </w:tc>
        <w:tc>
          <w:tcPr>
            <w:tcW w:w="4230" w:type="dxa"/>
          </w:tcPr>
          <w:p w14:paraId="1D6B2C3C" w14:textId="5CAD9DBA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new desktop computers; deployment of high-performance server computers and a video-editing workstation; setup of ergonomic computer tables; complete electrical rewiring; installation of UPS backup systems; structured network cabling; replacement of fans; installation of air-conditioning units; integration of an interactive smart board</w:t>
            </w:r>
          </w:p>
        </w:tc>
        <w:tc>
          <w:tcPr>
            <w:tcW w:w="2790" w:type="dxa"/>
          </w:tcPr>
          <w:p w14:paraId="338CC960" w14:textId="1FD57C72" w:rsidR="00123414" w:rsidRPr="006F046A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Desktop Computers (165), Server (02), Video Editing Computer (01), Computer Tables (165), Headsets (165)</w:t>
            </w:r>
          </w:p>
        </w:tc>
        <w:tc>
          <w:tcPr>
            <w:tcW w:w="810" w:type="dxa"/>
          </w:tcPr>
          <w:p w14:paraId="3B162E9C" w14:textId="1EC70B4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37Millions</w:t>
            </w:r>
          </w:p>
        </w:tc>
      </w:tr>
      <w:tr w:rsidR="00123414" w:rsidRPr="00211260" w14:paraId="6D2680AA" w14:textId="77777777" w:rsidTr="00D02659">
        <w:trPr>
          <w:trHeight w:val="926"/>
        </w:trPr>
        <w:tc>
          <w:tcPr>
            <w:tcW w:w="734" w:type="dxa"/>
            <w:vMerge/>
          </w:tcPr>
          <w:p w14:paraId="67A0C11D" w14:textId="0BB8830A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D1D76CA" w14:textId="79808658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440" w:type="dxa"/>
          </w:tcPr>
          <w:p w14:paraId="0E62E386" w14:textId="4A9F2BAE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LMS Upgrade</w:t>
            </w:r>
          </w:p>
        </w:tc>
        <w:tc>
          <w:tcPr>
            <w:tcW w:w="4230" w:type="dxa"/>
          </w:tcPr>
          <w:p w14:paraId="02BF51BE" w14:textId="1B557CAD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and configuration of new server hardware; upgrading, optimizing, and restoring the Learning Management System (LMS) including data recovery.</w:t>
            </w:r>
          </w:p>
        </w:tc>
        <w:tc>
          <w:tcPr>
            <w:tcW w:w="2790" w:type="dxa"/>
          </w:tcPr>
          <w:p w14:paraId="00AF9322" w14:textId="7C71F2BF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server and other required equipment.</w:t>
            </w:r>
          </w:p>
        </w:tc>
        <w:tc>
          <w:tcPr>
            <w:tcW w:w="810" w:type="dxa"/>
          </w:tcPr>
          <w:p w14:paraId="6AAC402A" w14:textId="55091BA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2.5Millions</w:t>
            </w:r>
          </w:p>
        </w:tc>
      </w:tr>
      <w:tr w:rsidR="00123414" w:rsidRPr="00211260" w14:paraId="41E1D1CC" w14:textId="77777777" w:rsidTr="00D02659">
        <w:trPr>
          <w:trHeight w:val="696"/>
        </w:trPr>
        <w:tc>
          <w:tcPr>
            <w:tcW w:w="734" w:type="dxa"/>
            <w:vMerge/>
          </w:tcPr>
          <w:p w14:paraId="02B23F9D" w14:textId="110C201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372035E2" w14:textId="4591939F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440" w:type="dxa"/>
            <w:hideMark/>
          </w:tcPr>
          <w:p w14:paraId="69BFEE73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Lecture Room Restoration (LR 04–08)</w:t>
            </w:r>
          </w:p>
        </w:tc>
        <w:tc>
          <w:tcPr>
            <w:tcW w:w="4230" w:type="dxa"/>
            <w:hideMark/>
          </w:tcPr>
          <w:p w14:paraId="032B9955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and installation of smart boards and laptops to enhance interactive teaching and learning environments.</w:t>
            </w:r>
          </w:p>
        </w:tc>
        <w:tc>
          <w:tcPr>
            <w:tcW w:w="2790" w:type="dxa"/>
            <w:hideMark/>
          </w:tcPr>
          <w:p w14:paraId="3AA60667" w14:textId="48CD0909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 Boards (05)</w:t>
            </w:r>
          </w:p>
        </w:tc>
        <w:tc>
          <w:tcPr>
            <w:tcW w:w="810" w:type="dxa"/>
            <w:hideMark/>
          </w:tcPr>
          <w:p w14:paraId="0E5083ED" w14:textId="7CE071F6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3Millions</w:t>
            </w:r>
          </w:p>
        </w:tc>
      </w:tr>
      <w:tr w:rsidR="00123414" w:rsidRPr="00211260" w14:paraId="3592EB3E" w14:textId="77777777" w:rsidTr="00D02659">
        <w:trPr>
          <w:trHeight w:val="1034"/>
        </w:trPr>
        <w:tc>
          <w:tcPr>
            <w:tcW w:w="734" w:type="dxa"/>
            <w:vMerge/>
          </w:tcPr>
          <w:p w14:paraId="0E5947E8" w14:textId="5D710199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0F3A4984" w14:textId="02FF41F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440" w:type="dxa"/>
            <w:hideMark/>
          </w:tcPr>
          <w:p w14:paraId="4A230E97" w14:textId="09E6EA4A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nnovation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ocreation Cell (ICC)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Upgrading</w:t>
            </w:r>
          </w:p>
        </w:tc>
        <w:tc>
          <w:tcPr>
            <w:tcW w:w="4230" w:type="dxa"/>
            <w:hideMark/>
          </w:tcPr>
          <w:p w14:paraId="3DF39531" w14:textId="13529B22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ntegration of smart board technology; repair or installation of air-conditioning; setup of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conferencing system.</w:t>
            </w:r>
          </w:p>
        </w:tc>
        <w:tc>
          <w:tcPr>
            <w:tcW w:w="2790" w:type="dxa"/>
            <w:hideMark/>
          </w:tcPr>
          <w:p w14:paraId="44AF4694" w14:textId="3D426326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Smart Panel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95’ inch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(01), AC Unit (0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modern Video 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Conference System (01)</w:t>
            </w:r>
          </w:p>
        </w:tc>
        <w:tc>
          <w:tcPr>
            <w:tcW w:w="810" w:type="dxa"/>
            <w:hideMark/>
          </w:tcPr>
          <w:p w14:paraId="13336413" w14:textId="68072864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1.8Millions</w:t>
            </w:r>
          </w:p>
        </w:tc>
      </w:tr>
      <w:tr w:rsidR="00123414" w:rsidRPr="00211260" w14:paraId="529F981D" w14:textId="77777777" w:rsidTr="00D02659">
        <w:trPr>
          <w:trHeight w:val="636"/>
        </w:trPr>
        <w:tc>
          <w:tcPr>
            <w:tcW w:w="734" w:type="dxa"/>
            <w:vMerge/>
          </w:tcPr>
          <w:p w14:paraId="2F0E113C" w14:textId="266CF1AB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60578828" w14:textId="20938324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65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440" w:type="dxa"/>
            <w:hideMark/>
          </w:tcPr>
          <w:p w14:paraId="190F502F" w14:textId="4F07039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Restoration of Simulation Lab</w:t>
            </w:r>
          </w:p>
        </w:tc>
        <w:tc>
          <w:tcPr>
            <w:tcW w:w="4230" w:type="dxa"/>
          </w:tcPr>
          <w:p w14:paraId="31581D70" w14:textId="2C690CBF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Provisions to restore the simulation 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required software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83D2E4" w14:textId="785254DB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B3E8166" w14:textId="1FD52206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Computers (15),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Simulations software, furniture and fittings, and equipment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0" w:type="dxa"/>
            <w:hideMark/>
          </w:tcPr>
          <w:p w14:paraId="77F6D03C" w14:textId="0656F90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5Millions</w:t>
            </w:r>
          </w:p>
        </w:tc>
      </w:tr>
      <w:tr w:rsidR="00123414" w:rsidRPr="00211260" w14:paraId="1F85C0EA" w14:textId="77777777" w:rsidTr="00D02659">
        <w:trPr>
          <w:trHeight w:val="312"/>
        </w:trPr>
        <w:tc>
          <w:tcPr>
            <w:tcW w:w="734" w:type="dxa"/>
            <w:vMerge/>
          </w:tcPr>
          <w:p w14:paraId="3070672A" w14:textId="006FD2D3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4F9B765D" w14:textId="66B38C2F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440" w:type="dxa"/>
            <w:hideMark/>
          </w:tcPr>
          <w:p w14:paraId="1A18A1DB" w14:textId="41A7538E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Restoration of Dep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of Operations Management </w:t>
            </w:r>
          </w:p>
        </w:tc>
        <w:tc>
          <w:tcPr>
            <w:tcW w:w="4230" w:type="dxa"/>
            <w:hideMark/>
          </w:tcPr>
          <w:p w14:paraId="3E0620C1" w14:textId="3026F40D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of photocopiers to restore departmental operational capacity.</w:t>
            </w:r>
          </w:p>
        </w:tc>
        <w:tc>
          <w:tcPr>
            <w:tcW w:w="2790" w:type="dxa"/>
            <w:hideMark/>
          </w:tcPr>
          <w:p w14:paraId="0C236FEC" w14:textId="6274A69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Photocopiers (02)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PC Unit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), Tables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hideMark/>
          </w:tcPr>
          <w:p w14:paraId="4689621D" w14:textId="616D555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  <w:tr w:rsidR="00123414" w:rsidRPr="00211260" w14:paraId="77D28B80" w14:textId="77777777" w:rsidTr="00D02659">
        <w:trPr>
          <w:trHeight w:val="312"/>
        </w:trPr>
        <w:tc>
          <w:tcPr>
            <w:tcW w:w="734" w:type="dxa"/>
            <w:vMerge/>
          </w:tcPr>
          <w:p w14:paraId="239E59F9" w14:textId="2979AFE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79FBCA48" w14:textId="0C7C6CD4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440" w:type="dxa"/>
          </w:tcPr>
          <w:p w14:paraId="4B8C137B" w14:textId="7A147AC6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Restoration of Dep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of Business Finance</w:t>
            </w:r>
          </w:p>
        </w:tc>
        <w:tc>
          <w:tcPr>
            <w:tcW w:w="4230" w:type="dxa"/>
          </w:tcPr>
          <w:p w14:paraId="57D4421B" w14:textId="61F4BCDB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of laptops and photocopiers to restore departmental operational capacity.</w:t>
            </w:r>
          </w:p>
        </w:tc>
        <w:tc>
          <w:tcPr>
            <w:tcW w:w="2790" w:type="dxa"/>
          </w:tcPr>
          <w:p w14:paraId="04F8D948" w14:textId="5EDE1F6F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Laptops (01),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Photocopiers (01) PC Unit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), Tables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10" w:type="dxa"/>
            <w:noWrap/>
          </w:tcPr>
          <w:p w14:paraId="59B45FF8" w14:textId="26E5C15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  <w:tr w:rsidR="00123414" w:rsidRPr="00211260" w14:paraId="418D32F3" w14:textId="77777777" w:rsidTr="00D02659">
        <w:trPr>
          <w:trHeight w:val="312"/>
        </w:trPr>
        <w:tc>
          <w:tcPr>
            <w:tcW w:w="734" w:type="dxa"/>
            <w:vMerge/>
          </w:tcPr>
          <w:p w14:paraId="34377C8D" w14:textId="12F35805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075D2D37" w14:textId="36232119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1440" w:type="dxa"/>
          </w:tcPr>
          <w:p w14:paraId="1C9C42E4" w14:textId="4E7F58BF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Restoration of Dep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of Marketing Management</w:t>
            </w:r>
          </w:p>
        </w:tc>
        <w:tc>
          <w:tcPr>
            <w:tcW w:w="4230" w:type="dxa"/>
          </w:tcPr>
          <w:p w14:paraId="31BEE93D" w14:textId="2252E454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of laptops and photocopiers to restore departmental operational capacity.</w:t>
            </w:r>
          </w:p>
        </w:tc>
        <w:tc>
          <w:tcPr>
            <w:tcW w:w="2790" w:type="dxa"/>
          </w:tcPr>
          <w:p w14:paraId="04069CC9" w14:textId="4A9F8115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Laptops (01),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Photocopiers (01) PC Unit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), Tables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</w:tcPr>
          <w:p w14:paraId="0CB97369" w14:textId="57360B4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  <w:tr w:rsidR="00123414" w:rsidRPr="00211260" w14:paraId="2EACC4C9" w14:textId="77777777" w:rsidTr="00D02659">
        <w:trPr>
          <w:trHeight w:val="312"/>
        </w:trPr>
        <w:tc>
          <w:tcPr>
            <w:tcW w:w="734" w:type="dxa"/>
            <w:vMerge/>
          </w:tcPr>
          <w:p w14:paraId="7916C164" w14:textId="46787F48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54A0C634" w14:textId="739A5EC1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1440" w:type="dxa"/>
          </w:tcPr>
          <w:p w14:paraId="36E0A038" w14:textId="6F21CEF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Restoration of Dep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of Human Resource Management</w:t>
            </w:r>
          </w:p>
        </w:tc>
        <w:tc>
          <w:tcPr>
            <w:tcW w:w="4230" w:type="dxa"/>
          </w:tcPr>
          <w:p w14:paraId="626F4A53" w14:textId="755C6E0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of laptops and photocopiers to restore departmental operational capacity.</w:t>
            </w:r>
          </w:p>
        </w:tc>
        <w:tc>
          <w:tcPr>
            <w:tcW w:w="2790" w:type="dxa"/>
          </w:tcPr>
          <w:p w14:paraId="62834504" w14:textId="6E322723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Laptops (01),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Photocopiers (01) PC Unit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), Tables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</w:p>
        </w:tc>
        <w:tc>
          <w:tcPr>
            <w:tcW w:w="810" w:type="dxa"/>
            <w:noWrap/>
          </w:tcPr>
          <w:p w14:paraId="60FB95C0" w14:textId="4F5B8E3D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  <w:tr w:rsidR="00123414" w:rsidRPr="00211260" w14:paraId="282A37F2" w14:textId="77777777" w:rsidTr="00D02659">
        <w:trPr>
          <w:trHeight w:val="312"/>
        </w:trPr>
        <w:tc>
          <w:tcPr>
            <w:tcW w:w="734" w:type="dxa"/>
            <w:vMerge/>
          </w:tcPr>
          <w:p w14:paraId="781CFE99" w14:textId="13886A49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66298FA4" w14:textId="071CB57E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1440" w:type="dxa"/>
          </w:tcPr>
          <w:p w14:paraId="6378667C" w14:textId="2F388798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Restoration of Dep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of Management Studies</w:t>
            </w:r>
          </w:p>
        </w:tc>
        <w:tc>
          <w:tcPr>
            <w:tcW w:w="4230" w:type="dxa"/>
          </w:tcPr>
          <w:p w14:paraId="1D009012" w14:textId="1414BCC6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Provision of laptops and photocopiers to restore departmental operational capacity.</w:t>
            </w:r>
          </w:p>
        </w:tc>
        <w:tc>
          <w:tcPr>
            <w:tcW w:w="2790" w:type="dxa"/>
          </w:tcPr>
          <w:p w14:paraId="39A3C108" w14:textId="0D145108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6F046A">
              <w:rPr>
                <w:rFonts w:ascii="Times New Roman" w:hAnsi="Times New Roman" w:cs="Times New Roman"/>
                <w:sz w:val="20"/>
                <w:szCs w:val="20"/>
              </w:rPr>
              <w:t>Laptops (01),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 Photocopiers (01) PC Unit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), Tables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</w:p>
        </w:tc>
        <w:tc>
          <w:tcPr>
            <w:tcW w:w="810" w:type="dxa"/>
            <w:noWrap/>
          </w:tcPr>
          <w:p w14:paraId="5A31161D" w14:textId="066CA623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  <w:tr w:rsidR="00123414" w:rsidRPr="00211260" w14:paraId="1DADFA54" w14:textId="77777777" w:rsidTr="00D02659">
        <w:trPr>
          <w:trHeight w:val="624"/>
        </w:trPr>
        <w:tc>
          <w:tcPr>
            <w:tcW w:w="734" w:type="dxa"/>
            <w:vMerge/>
          </w:tcPr>
          <w:p w14:paraId="49202C47" w14:textId="2CF36142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4C1B6339" w14:textId="316EBAE6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1440" w:type="dxa"/>
            <w:hideMark/>
          </w:tcPr>
          <w:p w14:paraId="51BA52B4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AB 01 Upgrading</w:t>
            </w:r>
          </w:p>
        </w:tc>
        <w:tc>
          <w:tcPr>
            <w:tcW w:w="4230" w:type="dxa"/>
            <w:hideMark/>
          </w:tcPr>
          <w:p w14:paraId="7403AACA" w14:textId="5755C8CC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smart panel to enhance teaching and presentation functions.</w:t>
            </w:r>
          </w:p>
        </w:tc>
        <w:tc>
          <w:tcPr>
            <w:tcW w:w="2790" w:type="dxa"/>
            <w:hideMark/>
          </w:tcPr>
          <w:p w14:paraId="4BBBFAB2" w14:textId="640FF0AB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 Panel (01)</w:t>
            </w:r>
          </w:p>
        </w:tc>
        <w:tc>
          <w:tcPr>
            <w:tcW w:w="810" w:type="dxa"/>
            <w:noWrap/>
            <w:hideMark/>
          </w:tcPr>
          <w:p w14:paraId="058D6D7D" w14:textId="645B962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  <w:tr w:rsidR="00123414" w:rsidRPr="00211260" w14:paraId="5DC3CB59" w14:textId="77777777" w:rsidTr="00D02659">
        <w:trPr>
          <w:trHeight w:val="624"/>
        </w:trPr>
        <w:tc>
          <w:tcPr>
            <w:tcW w:w="734" w:type="dxa"/>
            <w:vMerge/>
          </w:tcPr>
          <w:p w14:paraId="6B8D2975" w14:textId="2F88C3ED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hideMark/>
          </w:tcPr>
          <w:p w14:paraId="3669188C" w14:textId="53754F51" w:rsidR="00123414" w:rsidRPr="00D02659" w:rsidRDefault="00123414" w:rsidP="00123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59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1440" w:type="dxa"/>
            <w:hideMark/>
          </w:tcPr>
          <w:p w14:paraId="78DF76E4" w14:textId="77777777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AB 02 Upgrading</w:t>
            </w:r>
          </w:p>
        </w:tc>
        <w:tc>
          <w:tcPr>
            <w:tcW w:w="4230" w:type="dxa"/>
            <w:hideMark/>
          </w:tcPr>
          <w:p w14:paraId="2FE10656" w14:textId="11051381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Installation of smart panel to strengthen academic delivery and digital integration.</w:t>
            </w:r>
          </w:p>
        </w:tc>
        <w:tc>
          <w:tcPr>
            <w:tcW w:w="2790" w:type="dxa"/>
            <w:hideMark/>
          </w:tcPr>
          <w:p w14:paraId="66BCCE4F" w14:textId="424B21A0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 Panel (01)</w:t>
            </w:r>
          </w:p>
        </w:tc>
        <w:tc>
          <w:tcPr>
            <w:tcW w:w="810" w:type="dxa"/>
            <w:noWrap/>
            <w:hideMark/>
          </w:tcPr>
          <w:p w14:paraId="744387F6" w14:textId="289B5106" w:rsidR="00123414" w:rsidRPr="00211260" w:rsidRDefault="00123414" w:rsidP="0012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0.8Millions</w:t>
            </w:r>
          </w:p>
        </w:tc>
      </w:tr>
    </w:tbl>
    <w:p w14:paraId="7CF3514F" w14:textId="77777777" w:rsidR="002E3593" w:rsidRDefault="002E3593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AE278D" w14:textId="77777777" w:rsidR="002E3593" w:rsidRDefault="002E3593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4.0 </w:t>
      </w:r>
      <w:r w:rsidR="002B660D" w:rsidRPr="00211260">
        <w:rPr>
          <w:rFonts w:ascii="Times New Roman" w:hAnsi="Times New Roman" w:cs="Times New Roman"/>
          <w:b/>
          <w:bCs/>
          <w:sz w:val="22"/>
          <w:szCs w:val="22"/>
        </w:rPr>
        <w:t>Conclusion</w:t>
      </w:r>
    </w:p>
    <w:p w14:paraId="77B9E72E" w14:textId="4F0D4F75" w:rsidR="002B660D" w:rsidRPr="002E3593" w:rsidRDefault="002B660D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1260">
        <w:rPr>
          <w:rFonts w:ascii="Times New Roman" w:hAnsi="Times New Roman" w:cs="Times New Roman"/>
          <w:sz w:val="22"/>
          <w:szCs w:val="22"/>
        </w:rPr>
        <w:t xml:space="preserve">All work packages are </w:t>
      </w:r>
      <w:r w:rsidR="00E44311">
        <w:rPr>
          <w:rFonts w:ascii="Times New Roman" w:hAnsi="Times New Roman" w:cs="Times New Roman"/>
          <w:sz w:val="22"/>
          <w:szCs w:val="22"/>
        </w:rPr>
        <w:t xml:space="preserve">officially </w:t>
      </w:r>
      <w:r w:rsidRPr="00211260">
        <w:rPr>
          <w:rFonts w:ascii="Times New Roman" w:hAnsi="Times New Roman" w:cs="Times New Roman"/>
          <w:sz w:val="22"/>
          <w:szCs w:val="22"/>
        </w:rPr>
        <w:t>recognized by the Faculty of Management</w:t>
      </w:r>
      <w:r w:rsidR="00E44311">
        <w:rPr>
          <w:rFonts w:ascii="Times New Roman" w:hAnsi="Times New Roman" w:cs="Times New Roman"/>
          <w:sz w:val="22"/>
          <w:szCs w:val="22"/>
        </w:rPr>
        <w:t xml:space="preserve">, </w:t>
      </w:r>
      <w:r w:rsidRPr="00211260">
        <w:rPr>
          <w:rFonts w:ascii="Times New Roman" w:hAnsi="Times New Roman" w:cs="Times New Roman"/>
          <w:sz w:val="22"/>
          <w:szCs w:val="22"/>
        </w:rPr>
        <w:t xml:space="preserve">University of Peradeniya and included all items procured will be included in the </w:t>
      </w:r>
      <w:r w:rsidR="00081384" w:rsidRPr="00211260">
        <w:rPr>
          <w:rFonts w:ascii="Times New Roman" w:hAnsi="Times New Roman" w:cs="Times New Roman"/>
          <w:sz w:val="22"/>
          <w:szCs w:val="22"/>
        </w:rPr>
        <w:t>inventory</w:t>
      </w:r>
      <w:r w:rsidRPr="00211260">
        <w:rPr>
          <w:rFonts w:ascii="Times New Roman" w:hAnsi="Times New Roman" w:cs="Times New Roman"/>
          <w:sz w:val="22"/>
          <w:szCs w:val="22"/>
        </w:rPr>
        <w:t xml:space="preserve"> of the university. The time </w:t>
      </w:r>
      <w:r w:rsidR="00081384" w:rsidRPr="00211260">
        <w:rPr>
          <w:rFonts w:ascii="Times New Roman" w:hAnsi="Times New Roman" w:cs="Times New Roman"/>
          <w:sz w:val="22"/>
          <w:szCs w:val="22"/>
        </w:rPr>
        <w:t>period of</w:t>
      </w:r>
      <w:r w:rsidRPr="00211260">
        <w:rPr>
          <w:rFonts w:ascii="Times New Roman" w:hAnsi="Times New Roman" w:cs="Times New Roman"/>
          <w:sz w:val="22"/>
          <w:szCs w:val="22"/>
        </w:rPr>
        <w:t xml:space="preserve"> the completion of the </w:t>
      </w:r>
      <w:r w:rsidR="00081384" w:rsidRPr="00211260">
        <w:rPr>
          <w:rFonts w:ascii="Times New Roman" w:hAnsi="Times New Roman" w:cs="Times New Roman"/>
          <w:sz w:val="22"/>
          <w:szCs w:val="22"/>
        </w:rPr>
        <w:t>work packages</w:t>
      </w:r>
      <w:r w:rsidRPr="00211260">
        <w:rPr>
          <w:rFonts w:ascii="Times New Roman" w:hAnsi="Times New Roman" w:cs="Times New Roman"/>
          <w:sz w:val="22"/>
          <w:szCs w:val="22"/>
        </w:rPr>
        <w:t xml:space="preserve"> will be negotiated with potential </w:t>
      </w:r>
      <w:r w:rsidR="00081384" w:rsidRPr="00211260">
        <w:rPr>
          <w:rFonts w:ascii="Times New Roman" w:hAnsi="Times New Roman" w:cs="Times New Roman"/>
          <w:sz w:val="22"/>
          <w:szCs w:val="22"/>
        </w:rPr>
        <w:t>sponsors</w:t>
      </w:r>
      <w:r w:rsidRPr="00211260">
        <w:rPr>
          <w:rFonts w:ascii="Times New Roman" w:hAnsi="Times New Roman" w:cs="Times New Roman"/>
          <w:sz w:val="22"/>
          <w:szCs w:val="22"/>
        </w:rPr>
        <w:t xml:space="preserve"> depending on their </w:t>
      </w:r>
      <w:r w:rsidR="00081384" w:rsidRPr="00211260">
        <w:rPr>
          <w:rFonts w:ascii="Times New Roman" w:hAnsi="Times New Roman" w:cs="Times New Roman"/>
          <w:sz w:val="22"/>
          <w:szCs w:val="22"/>
        </w:rPr>
        <w:t>interest</w:t>
      </w:r>
      <w:r w:rsidRPr="00211260">
        <w:rPr>
          <w:rFonts w:ascii="Times New Roman" w:hAnsi="Times New Roman" w:cs="Times New Roman"/>
          <w:sz w:val="22"/>
          <w:szCs w:val="22"/>
        </w:rPr>
        <w:t xml:space="preserve"> and their capacity together with the requirement of the faculty. </w:t>
      </w:r>
    </w:p>
    <w:p w14:paraId="14D4B062" w14:textId="77777777" w:rsidR="002B660D" w:rsidRPr="00211260" w:rsidRDefault="002B660D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C82ABF" w14:textId="69400D48" w:rsidR="002B660D" w:rsidRPr="00211260" w:rsidRDefault="002B660D" w:rsidP="00211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1260">
        <w:rPr>
          <w:rFonts w:ascii="Times New Roman" w:hAnsi="Times New Roman" w:cs="Times New Roman"/>
          <w:b/>
          <w:bCs/>
          <w:sz w:val="22"/>
          <w:szCs w:val="22"/>
        </w:rPr>
        <w:t>Contact Person</w:t>
      </w:r>
    </w:p>
    <w:p w14:paraId="5F1E78BE" w14:textId="77777777" w:rsidR="00CD6DD5" w:rsidRPr="007825D7" w:rsidRDefault="00081384" w:rsidP="00CD6D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5D7">
        <w:rPr>
          <w:rFonts w:ascii="Times New Roman" w:hAnsi="Times New Roman" w:cs="Times New Roman"/>
          <w:sz w:val="22"/>
          <w:szCs w:val="22"/>
        </w:rPr>
        <w:t xml:space="preserve">Dr. S. Maheswaran </w:t>
      </w:r>
      <w:r w:rsidR="00CD6DD5">
        <w:rPr>
          <w:rFonts w:ascii="Times New Roman" w:hAnsi="Times New Roman" w:cs="Times New Roman"/>
          <w:sz w:val="22"/>
          <w:szCs w:val="22"/>
        </w:rPr>
        <w:t>(</w:t>
      </w:r>
      <w:r w:rsidR="00CD6DD5" w:rsidRPr="007825D7">
        <w:rPr>
          <w:rFonts w:ascii="Times New Roman" w:hAnsi="Times New Roman" w:cs="Times New Roman"/>
          <w:sz w:val="22"/>
          <w:szCs w:val="22"/>
        </w:rPr>
        <w:t>+94777842232</w:t>
      </w:r>
      <w:r w:rsidR="00CD6DD5">
        <w:rPr>
          <w:rFonts w:ascii="Times New Roman" w:hAnsi="Times New Roman" w:cs="Times New Roman"/>
          <w:sz w:val="22"/>
          <w:szCs w:val="22"/>
        </w:rPr>
        <w:t>)</w:t>
      </w:r>
    </w:p>
    <w:p w14:paraId="0F648EB8" w14:textId="6370E12A" w:rsidR="00081384" w:rsidRPr="007825D7" w:rsidRDefault="00E867F5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hyperlink r:id="rId13" w:history="1">
        <w:r w:rsidR="00081384" w:rsidRPr="007825D7">
          <w:rPr>
            <w:rStyle w:val="Hyperlink"/>
            <w:rFonts w:ascii="Times New Roman" w:hAnsi="Times New Roman" w:cs="Times New Roman"/>
            <w:sz w:val="22"/>
            <w:szCs w:val="22"/>
          </w:rPr>
          <w:t>mahessiva@mgt.pdn.ac.lk</w:t>
        </w:r>
      </w:hyperlink>
    </w:p>
    <w:p w14:paraId="5E4D84BB" w14:textId="77777777" w:rsidR="00081384" w:rsidRPr="00211260" w:rsidRDefault="00081384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4A49FD" w14:textId="55C79D32" w:rsidR="00D95DB6" w:rsidRPr="00211260" w:rsidRDefault="00D95DB6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11260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Pr="00211260">
        <w:rPr>
          <w:rFonts w:ascii="Times New Roman" w:hAnsi="Times New Roman" w:cs="Times New Roman"/>
          <w:sz w:val="22"/>
          <w:szCs w:val="22"/>
        </w:rPr>
        <w:t>Heshani</w:t>
      </w:r>
      <w:proofErr w:type="spellEnd"/>
      <w:r w:rsidRPr="002112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1260">
        <w:rPr>
          <w:rFonts w:ascii="Times New Roman" w:hAnsi="Times New Roman" w:cs="Times New Roman"/>
          <w:sz w:val="22"/>
          <w:szCs w:val="22"/>
        </w:rPr>
        <w:t>Wijethunka</w:t>
      </w:r>
      <w:proofErr w:type="spellEnd"/>
      <w:r w:rsidRPr="00211260">
        <w:rPr>
          <w:rFonts w:ascii="Times New Roman" w:hAnsi="Times New Roman" w:cs="Times New Roman"/>
          <w:sz w:val="22"/>
          <w:szCs w:val="22"/>
        </w:rPr>
        <w:t xml:space="preserve"> </w:t>
      </w:r>
      <w:r w:rsidR="00CD6DD5">
        <w:rPr>
          <w:rFonts w:ascii="Times New Roman" w:hAnsi="Times New Roman" w:cs="Times New Roman"/>
          <w:sz w:val="22"/>
          <w:szCs w:val="22"/>
        </w:rPr>
        <w:t>(+94770821636)</w:t>
      </w:r>
    </w:p>
    <w:p w14:paraId="6979BAE1" w14:textId="4EDF42C4" w:rsidR="00D95DB6" w:rsidRDefault="00E867F5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hyperlink r:id="rId14" w:history="1">
        <w:r w:rsidR="00D95DB6" w:rsidRPr="00211260">
          <w:rPr>
            <w:rStyle w:val="Hyperlink"/>
            <w:rFonts w:ascii="Times New Roman" w:hAnsi="Times New Roman" w:cs="Times New Roman"/>
            <w:sz w:val="22"/>
            <w:szCs w:val="22"/>
          </w:rPr>
          <w:t>Heshani114@mgt.pdn.ac.lk</w:t>
        </w:r>
      </w:hyperlink>
      <w:r w:rsidR="00D95DB6" w:rsidRPr="002112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206744" w14:textId="77777777" w:rsidR="007825D7" w:rsidRDefault="007825D7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CB57E8" w14:textId="5564C75C" w:rsidR="007825D7" w:rsidRDefault="007825D7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lastRenderedPageBreak/>
        <w:t>Ms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Waruni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Ediris</w:t>
      </w:r>
      <w:r w:rsidR="00CD6DD5">
        <w:rPr>
          <w:rFonts w:ascii="Times New Roman" w:hAnsi="Times New Roman" w:cs="Times New Roman"/>
          <w:sz w:val="22"/>
          <w:szCs w:val="22"/>
        </w:rPr>
        <w:t>oo</w:t>
      </w:r>
      <w:r>
        <w:rPr>
          <w:rFonts w:ascii="Times New Roman" w:hAnsi="Times New Roman" w:cs="Times New Roman"/>
          <w:sz w:val="22"/>
          <w:szCs w:val="22"/>
        </w:rPr>
        <w:t>riya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(+94776553142)</w:t>
      </w:r>
    </w:p>
    <w:p w14:paraId="77598C5E" w14:textId="04854AE3" w:rsidR="007825D7" w:rsidRPr="00211260" w:rsidRDefault="00E867F5" w:rsidP="0021126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7825D7" w:rsidRPr="00E87845">
          <w:rPr>
            <w:rStyle w:val="Hyperlink"/>
            <w:rFonts w:ascii="Times New Roman" w:hAnsi="Times New Roman" w:cs="Times New Roman"/>
            <w:sz w:val="22"/>
            <w:szCs w:val="22"/>
          </w:rPr>
          <w:t>warunie@mgt.pdn.ac.lk</w:t>
        </w:r>
      </w:hyperlink>
      <w:r w:rsidR="007825D7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7825D7" w:rsidRPr="0021126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B1B7" w14:textId="77777777" w:rsidR="00E867F5" w:rsidRDefault="00E867F5" w:rsidP="00583D2C">
      <w:pPr>
        <w:spacing w:after="0" w:line="240" w:lineRule="auto"/>
      </w:pPr>
      <w:r>
        <w:separator/>
      </w:r>
    </w:p>
  </w:endnote>
  <w:endnote w:type="continuationSeparator" w:id="0">
    <w:p w14:paraId="56C1ABF5" w14:textId="77777777" w:rsidR="00E867F5" w:rsidRDefault="00E867F5" w:rsidP="0058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540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A234F" w14:textId="0238FE01" w:rsidR="00583D2C" w:rsidRDefault="00583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FD5307" w14:textId="77777777" w:rsidR="00583D2C" w:rsidRDefault="00583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5DCFE" w14:textId="77777777" w:rsidR="00E867F5" w:rsidRDefault="00E867F5" w:rsidP="00583D2C">
      <w:pPr>
        <w:spacing w:after="0" w:line="240" w:lineRule="auto"/>
      </w:pPr>
      <w:r>
        <w:separator/>
      </w:r>
    </w:p>
  </w:footnote>
  <w:footnote w:type="continuationSeparator" w:id="0">
    <w:p w14:paraId="78D3EC2D" w14:textId="77777777" w:rsidR="00E867F5" w:rsidRDefault="00E867F5" w:rsidP="00583D2C">
      <w:pPr>
        <w:spacing w:after="0" w:line="240" w:lineRule="auto"/>
      </w:pPr>
      <w:r>
        <w:continuationSeparator/>
      </w:r>
    </w:p>
  </w:footnote>
  <w:footnote w:id="1">
    <w:p w14:paraId="31FB6BD9" w14:textId="034CD460" w:rsidR="00F61F19" w:rsidRPr="00982EE0" w:rsidRDefault="00F61F19" w:rsidP="00F61F19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proofErr w:type="spellStart"/>
        <w:r w:rsidRPr="00982EE0">
          <w:rPr>
            <w:color w:val="000000" w:themeColor="text1"/>
            <w:u w:val="single"/>
          </w:rPr>
          <w:t>Pera</w:t>
        </w:r>
        <w:proofErr w:type="spellEnd"/>
        <w:r w:rsidRPr="00982EE0">
          <w:rPr>
            <w:color w:val="000000" w:themeColor="text1"/>
            <w:u w:val="single"/>
          </w:rPr>
          <w:t xml:space="preserve"> campus counts heavy losses from deluge as partial academic activities resume tomorrow | Print Edition - The Sunday Times, Sri Lanka</w:t>
        </w:r>
      </w:hyperlink>
      <w:r w:rsidR="00B80A59">
        <w:rPr>
          <w:color w:val="000000" w:themeColor="text1"/>
        </w:rPr>
        <w:t xml:space="preserve"> (14/12/2025)</w:t>
      </w:r>
    </w:p>
    <w:p w14:paraId="15652CBD" w14:textId="77942F6E" w:rsidR="00F61F19" w:rsidRPr="00982EE0" w:rsidRDefault="00E867F5" w:rsidP="00F61F19">
      <w:pPr>
        <w:pStyle w:val="FootnoteText"/>
        <w:rPr>
          <w:color w:val="000000" w:themeColor="text1"/>
        </w:rPr>
      </w:pPr>
      <w:hyperlink r:id="rId2" w:history="1">
        <w:r w:rsidR="00F61F19" w:rsidRPr="00982EE0">
          <w:rPr>
            <w:color w:val="000000" w:themeColor="text1"/>
            <w:u w:val="single"/>
          </w:rPr>
          <w:t>Government assures University community of support to rebuild Peradeniya stronger and safer – The Island</w:t>
        </w:r>
      </w:hyperlink>
      <w:r w:rsidR="00B80A59">
        <w:rPr>
          <w:color w:val="000000" w:themeColor="text1"/>
        </w:rPr>
        <w:t>(08/12/2025)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560"/>
    <w:multiLevelType w:val="hybridMultilevel"/>
    <w:tmpl w:val="67F22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817"/>
    <w:multiLevelType w:val="multilevel"/>
    <w:tmpl w:val="B85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6088C"/>
    <w:multiLevelType w:val="hybridMultilevel"/>
    <w:tmpl w:val="055276C8"/>
    <w:lvl w:ilvl="0" w:tplc="DDC68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35A9"/>
    <w:multiLevelType w:val="multilevel"/>
    <w:tmpl w:val="CB34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627BF"/>
    <w:multiLevelType w:val="multilevel"/>
    <w:tmpl w:val="1F4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46E38"/>
    <w:multiLevelType w:val="multilevel"/>
    <w:tmpl w:val="4A2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1068E"/>
    <w:multiLevelType w:val="multilevel"/>
    <w:tmpl w:val="6BFE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30205"/>
    <w:multiLevelType w:val="multilevel"/>
    <w:tmpl w:val="66D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D63CB"/>
    <w:multiLevelType w:val="hybridMultilevel"/>
    <w:tmpl w:val="4566D0E2"/>
    <w:lvl w:ilvl="0" w:tplc="232496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788B"/>
    <w:multiLevelType w:val="multilevel"/>
    <w:tmpl w:val="60BE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E02AF"/>
    <w:multiLevelType w:val="multilevel"/>
    <w:tmpl w:val="407A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F1CC6"/>
    <w:multiLevelType w:val="multilevel"/>
    <w:tmpl w:val="1B3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745AD"/>
    <w:multiLevelType w:val="multilevel"/>
    <w:tmpl w:val="944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A4B01"/>
    <w:multiLevelType w:val="hybridMultilevel"/>
    <w:tmpl w:val="E47E4D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1E"/>
    <w:rsid w:val="00047AA9"/>
    <w:rsid w:val="00061CE6"/>
    <w:rsid w:val="00081384"/>
    <w:rsid w:val="00094C20"/>
    <w:rsid w:val="0009581E"/>
    <w:rsid w:val="000A0E79"/>
    <w:rsid w:val="000D0C22"/>
    <w:rsid w:val="00115B35"/>
    <w:rsid w:val="00123414"/>
    <w:rsid w:val="00123715"/>
    <w:rsid w:val="001A392B"/>
    <w:rsid w:val="001C4AED"/>
    <w:rsid w:val="00211260"/>
    <w:rsid w:val="002305B8"/>
    <w:rsid w:val="00243E72"/>
    <w:rsid w:val="0027444B"/>
    <w:rsid w:val="002A3A5D"/>
    <w:rsid w:val="002B660D"/>
    <w:rsid w:val="002C726B"/>
    <w:rsid w:val="002D14AC"/>
    <w:rsid w:val="002E3593"/>
    <w:rsid w:val="00334A99"/>
    <w:rsid w:val="003368D2"/>
    <w:rsid w:val="0042729E"/>
    <w:rsid w:val="004373BF"/>
    <w:rsid w:val="00483346"/>
    <w:rsid w:val="004C2981"/>
    <w:rsid w:val="004F387D"/>
    <w:rsid w:val="0050340E"/>
    <w:rsid w:val="00505601"/>
    <w:rsid w:val="00512466"/>
    <w:rsid w:val="00583D2C"/>
    <w:rsid w:val="00594F2E"/>
    <w:rsid w:val="005D2247"/>
    <w:rsid w:val="005E3C23"/>
    <w:rsid w:val="005F3376"/>
    <w:rsid w:val="00600947"/>
    <w:rsid w:val="00621656"/>
    <w:rsid w:val="00627182"/>
    <w:rsid w:val="006625AD"/>
    <w:rsid w:val="00690A40"/>
    <w:rsid w:val="006E4E1D"/>
    <w:rsid w:val="006E78FF"/>
    <w:rsid w:val="006F046A"/>
    <w:rsid w:val="006F7C1A"/>
    <w:rsid w:val="00714DD2"/>
    <w:rsid w:val="0073609A"/>
    <w:rsid w:val="00751F60"/>
    <w:rsid w:val="00755FEB"/>
    <w:rsid w:val="00764D5D"/>
    <w:rsid w:val="007758B4"/>
    <w:rsid w:val="007825D7"/>
    <w:rsid w:val="00787FCC"/>
    <w:rsid w:val="00792380"/>
    <w:rsid w:val="007A566D"/>
    <w:rsid w:val="007C67D0"/>
    <w:rsid w:val="007D4750"/>
    <w:rsid w:val="00806000"/>
    <w:rsid w:val="008344CA"/>
    <w:rsid w:val="008A1C6B"/>
    <w:rsid w:val="00904834"/>
    <w:rsid w:val="00917DFB"/>
    <w:rsid w:val="00926614"/>
    <w:rsid w:val="00965B49"/>
    <w:rsid w:val="00966754"/>
    <w:rsid w:val="009739F4"/>
    <w:rsid w:val="00980BDC"/>
    <w:rsid w:val="00982EE0"/>
    <w:rsid w:val="009B4AE3"/>
    <w:rsid w:val="009B50CE"/>
    <w:rsid w:val="00A75F26"/>
    <w:rsid w:val="00A84942"/>
    <w:rsid w:val="00AA2458"/>
    <w:rsid w:val="00AC4BF6"/>
    <w:rsid w:val="00AC5B70"/>
    <w:rsid w:val="00AC603B"/>
    <w:rsid w:val="00AD44FB"/>
    <w:rsid w:val="00AE0E4F"/>
    <w:rsid w:val="00B254D0"/>
    <w:rsid w:val="00B3641A"/>
    <w:rsid w:val="00B80A59"/>
    <w:rsid w:val="00B861A7"/>
    <w:rsid w:val="00BB7217"/>
    <w:rsid w:val="00BE38FB"/>
    <w:rsid w:val="00C34A88"/>
    <w:rsid w:val="00C85371"/>
    <w:rsid w:val="00CD0B14"/>
    <w:rsid w:val="00CD6797"/>
    <w:rsid w:val="00CD6DD5"/>
    <w:rsid w:val="00CF3376"/>
    <w:rsid w:val="00D02659"/>
    <w:rsid w:val="00D461DC"/>
    <w:rsid w:val="00D512C8"/>
    <w:rsid w:val="00D95DB6"/>
    <w:rsid w:val="00DA2260"/>
    <w:rsid w:val="00E13CFF"/>
    <w:rsid w:val="00E21D5B"/>
    <w:rsid w:val="00E31E6E"/>
    <w:rsid w:val="00E44311"/>
    <w:rsid w:val="00E867F5"/>
    <w:rsid w:val="00EE3603"/>
    <w:rsid w:val="00F224C6"/>
    <w:rsid w:val="00F40A8D"/>
    <w:rsid w:val="00F559D9"/>
    <w:rsid w:val="00F61F19"/>
    <w:rsid w:val="00FB29DE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45E9"/>
  <w15:chartTrackingRefBased/>
  <w15:docId w15:val="{A09E5065-2F63-4CAA-AA30-4A14A5C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3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3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D2C"/>
  </w:style>
  <w:style w:type="paragraph" w:styleId="Footer">
    <w:name w:val="footer"/>
    <w:basedOn w:val="Normal"/>
    <w:link w:val="FooterChar"/>
    <w:uiPriority w:val="99"/>
    <w:unhideWhenUsed/>
    <w:rsid w:val="00583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D2C"/>
  </w:style>
  <w:style w:type="paragraph" w:styleId="NormalWeb">
    <w:name w:val="Normal (Web)"/>
    <w:basedOn w:val="Normal"/>
    <w:uiPriority w:val="99"/>
    <w:semiHidden/>
    <w:unhideWhenUsed/>
    <w:rsid w:val="0078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2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1656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47A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A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7A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E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E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EE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82EE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6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mahessiva@mgt.pdn.ac.l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warunie@mgt.pdn.ac.lk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Heshani114@mgt.pdn.ac.l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land.lk/government-assures-university-community-of-support-to-rebuild-peradeniya-stronger-and-safer/" TargetMode="External"/><Relationship Id="rId1" Type="http://schemas.openxmlformats.org/officeDocument/2006/relationships/hyperlink" Target="https://www.sundaytimes.lk/251214/news/pera-campus-counts-heavy-losses-from-deluge-as-partial-academic-activities-resume-tomorrow-624733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B56D15-5964-4B10-AD92-AC71753BEFE1}" type="doc">
      <dgm:prSet loTypeId="urn:microsoft.com/office/officeart/2005/8/layout/target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7AAADA-98F1-41BB-A085-A97B9278C41F}">
      <dgm:prSet phldrT="[Text]" custT="1"/>
      <dgm:spPr/>
      <dgm:t>
        <a:bodyPr/>
        <a:lstStyle/>
        <a:p>
          <a:r>
            <a:rPr lang="en-US" sz="900"/>
            <a:t>PHASE I </a:t>
          </a:r>
        </a:p>
        <a:p>
          <a:r>
            <a:rPr lang="en-US" sz="900"/>
            <a:t>(Stakeholder Engagement &amp; Resource Mobilisation)</a:t>
          </a:r>
        </a:p>
        <a:p>
          <a:endParaRPr lang="en-US" sz="700"/>
        </a:p>
      </dgm:t>
    </dgm:pt>
    <dgm:pt modelId="{4DDF790D-D534-4A86-BB5E-9E2D07881E70}" type="parTrans" cxnId="{1A5E9EBF-35D1-4C96-A1A0-C55A75179E7B}">
      <dgm:prSet/>
      <dgm:spPr/>
      <dgm:t>
        <a:bodyPr/>
        <a:lstStyle/>
        <a:p>
          <a:endParaRPr lang="en-US"/>
        </a:p>
      </dgm:t>
    </dgm:pt>
    <dgm:pt modelId="{C326EB42-94C1-4AEB-8255-CCF64C1C279F}" type="sibTrans" cxnId="{1A5E9EBF-35D1-4C96-A1A0-C55A75179E7B}">
      <dgm:prSet/>
      <dgm:spPr/>
      <dgm:t>
        <a:bodyPr/>
        <a:lstStyle/>
        <a:p>
          <a:endParaRPr lang="en-US"/>
        </a:p>
      </dgm:t>
    </dgm:pt>
    <dgm:pt modelId="{79317FA9-7255-47D6-8783-C0266F0A1621}">
      <dgm:prSet phldrT="[Text]" custT="1"/>
      <dgm:spPr/>
      <dgm:t>
        <a:bodyPr/>
        <a:lstStyle/>
        <a:p>
          <a:r>
            <a:rPr lang="en-US" sz="1100"/>
            <a:t> </a:t>
          </a:r>
          <a:r>
            <a:rPr lang="en-US" sz="1200"/>
            <a:t>Repiairs of Building, Electronic equipments</a:t>
          </a:r>
        </a:p>
      </dgm:t>
    </dgm:pt>
    <dgm:pt modelId="{7BD33E34-5FC1-4848-958D-6B0C3AA10521}" type="parTrans" cxnId="{71CC0BB4-2C86-4EC4-BE62-9549B8FA2F0B}">
      <dgm:prSet/>
      <dgm:spPr/>
      <dgm:t>
        <a:bodyPr/>
        <a:lstStyle/>
        <a:p>
          <a:endParaRPr lang="en-US"/>
        </a:p>
      </dgm:t>
    </dgm:pt>
    <dgm:pt modelId="{7E781E1C-FA99-4E7C-AF56-345ECC1A32F7}" type="sibTrans" cxnId="{71CC0BB4-2C86-4EC4-BE62-9549B8FA2F0B}">
      <dgm:prSet/>
      <dgm:spPr/>
      <dgm:t>
        <a:bodyPr/>
        <a:lstStyle/>
        <a:p>
          <a:endParaRPr lang="en-US"/>
        </a:p>
      </dgm:t>
    </dgm:pt>
    <dgm:pt modelId="{B801B818-0CB8-49BE-87CC-E56897D20E6D}">
      <dgm:prSet phldrT="[Text]" custT="1"/>
      <dgm:spPr/>
      <dgm:t>
        <a:bodyPr/>
        <a:lstStyle/>
        <a:p>
          <a:r>
            <a:rPr lang="en-US" sz="1200"/>
            <a:t> Restoration of networks &amp; electricity</a:t>
          </a:r>
        </a:p>
      </dgm:t>
    </dgm:pt>
    <dgm:pt modelId="{2F0980AC-324C-42CD-B81A-4F698CC58A64}" type="parTrans" cxnId="{21AF83E6-8383-47C6-84BF-17F4FB1C04D1}">
      <dgm:prSet/>
      <dgm:spPr/>
      <dgm:t>
        <a:bodyPr/>
        <a:lstStyle/>
        <a:p>
          <a:endParaRPr lang="en-US"/>
        </a:p>
      </dgm:t>
    </dgm:pt>
    <dgm:pt modelId="{95F83EDE-52E2-40F9-9709-F11A1755C2F4}" type="sibTrans" cxnId="{21AF83E6-8383-47C6-84BF-17F4FB1C04D1}">
      <dgm:prSet/>
      <dgm:spPr/>
      <dgm:t>
        <a:bodyPr/>
        <a:lstStyle/>
        <a:p>
          <a:endParaRPr lang="en-US"/>
        </a:p>
      </dgm:t>
    </dgm:pt>
    <dgm:pt modelId="{590DBCE0-01CD-4F61-A142-49E447387753}">
      <dgm:prSet phldrT="[Text]" custT="1"/>
      <dgm:spPr/>
      <dgm:t>
        <a:bodyPr/>
        <a:lstStyle/>
        <a:p>
          <a:r>
            <a:rPr lang="en-US" sz="1100"/>
            <a:t>PHASE II </a:t>
          </a:r>
        </a:p>
        <a:p>
          <a:r>
            <a:rPr lang="en-US" sz="1100"/>
            <a:t>ADMINISTRATIVE NORMALCY (Restoring Core Operational Capacity)</a:t>
          </a:r>
        </a:p>
      </dgm:t>
    </dgm:pt>
    <dgm:pt modelId="{3751ED85-27EF-42E4-A265-B20C38A5CE08}" type="parTrans" cxnId="{D50F0CBD-5C00-4B4A-88B4-1BA1606A6307}">
      <dgm:prSet/>
      <dgm:spPr/>
      <dgm:t>
        <a:bodyPr/>
        <a:lstStyle/>
        <a:p>
          <a:endParaRPr lang="en-US"/>
        </a:p>
      </dgm:t>
    </dgm:pt>
    <dgm:pt modelId="{CA4D0A12-B928-4575-9C54-BEFCA7F2E6C6}" type="sibTrans" cxnId="{D50F0CBD-5C00-4B4A-88B4-1BA1606A6307}">
      <dgm:prSet/>
      <dgm:spPr/>
      <dgm:t>
        <a:bodyPr/>
        <a:lstStyle/>
        <a:p>
          <a:endParaRPr lang="en-US"/>
        </a:p>
      </dgm:t>
    </dgm:pt>
    <dgm:pt modelId="{61B4C105-B1C0-4169-9830-11032698C633}">
      <dgm:prSet phldrT="[Text]" custT="1"/>
      <dgm:spPr/>
      <dgm:t>
        <a:bodyPr/>
        <a:lstStyle/>
        <a:p>
          <a:r>
            <a:rPr lang="en-US" sz="900"/>
            <a:t>Restoration of Dean office &amp; Redocumentation</a:t>
          </a:r>
        </a:p>
      </dgm:t>
    </dgm:pt>
    <dgm:pt modelId="{1FA7A428-DDEF-4CE1-8EAB-172F50A928DC}" type="parTrans" cxnId="{6ECDD8D5-AE15-40B5-86EF-97C612702ABC}">
      <dgm:prSet/>
      <dgm:spPr/>
      <dgm:t>
        <a:bodyPr/>
        <a:lstStyle/>
        <a:p>
          <a:endParaRPr lang="en-US"/>
        </a:p>
      </dgm:t>
    </dgm:pt>
    <dgm:pt modelId="{1F45B022-A4E4-4F6E-926E-9E1F0BEE9478}" type="sibTrans" cxnId="{6ECDD8D5-AE15-40B5-86EF-97C612702ABC}">
      <dgm:prSet/>
      <dgm:spPr/>
      <dgm:t>
        <a:bodyPr/>
        <a:lstStyle/>
        <a:p>
          <a:endParaRPr lang="en-US"/>
        </a:p>
      </dgm:t>
    </dgm:pt>
    <dgm:pt modelId="{DA6E1B34-401B-40AA-B2EB-2E2236B27A3A}">
      <dgm:prSet phldrT="[Text]" custT="1"/>
      <dgm:spPr/>
      <dgm:t>
        <a:bodyPr/>
        <a:lstStyle/>
        <a:p>
          <a:pPr>
            <a:buNone/>
          </a:pPr>
          <a:r>
            <a:rPr lang="en-US" sz="1000"/>
            <a:t>PHASE III – RESUMPTION OF TEACHING &amp; LEARNING</a:t>
          </a:r>
        </a:p>
        <a:p>
          <a:pPr>
            <a:buNone/>
          </a:pPr>
          <a:r>
            <a:rPr lang="en-US" sz="1000"/>
            <a:t>(Academic Infrastructure Activation)</a:t>
          </a:r>
        </a:p>
      </dgm:t>
    </dgm:pt>
    <dgm:pt modelId="{17AC5B02-B164-4818-9AC6-9824A8FB5959}" type="parTrans" cxnId="{3C13274A-EAF0-41E4-8C73-F39F058729F9}">
      <dgm:prSet/>
      <dgm:spPr/>
      <dgm:t>
        <a:bodyPr/>
        <a:lstStyle/>
        <a:p>
          <a:endParaRPr lang="en-US"/>
        </a:p>
      </dgm:t>
    </dgm:pt>
    <dgm:pt modelId="{4444FFF6-AA08-451B-A77A-58C29C98549A}" type="sibTrans" cxnId="{3C13274A-EAF0-41E4-8C73-F39F058729F9}">
      <dgm:prSet/>
      <dgm:spPr/>
      <dgm:t>
        <a:bodyPr/>
        <a:lstStyle/>
        <a:p>
          <a:endParaRPr lang="en-US"/>
        </a:p>
      </dgm:t>
    </dgm:pt>
    <dgm:pt modelId="{B6963B16-E777-422C-A497-1C536F015695}">
      <dgm:prSet phldrT="[Text]" custT="1"/>
      <dgm:spPr/>
      <dgm:t>
        <a:bodyPr/>
        <a:lstStyle/>
        <a:p>
          <a:r>
            <a:rPr lang="en-US" sz="1000"/>
            <a:t>Restoration of Smart/normal Classrooms</a:t>
          </a:r>
        </a:p>
      </dgm:t>
    </dgm:pt>
    <dgm:pt modelId="{356E0DC0-E59E-404D-8CB5-9031C1A2550C}" type="parTrans" cxnId="{04C07BAA-4C15-4384-8D20-9DDEB804C761}">
      <dgm:prSet/>
      <dgm:spPr/>
      <dgm:t>
        <a:bodyPr/>
        <a:lstStyle/>
        <a:p>
          <a:endParaRPr lang="en-US"/>
        </a:p>
      </dgm:t>
    </dgm:pt>
    <dgm:pt modelId="{75AAE6CD-4217-4F39-AFDB-8D4D1DB81D2B}" type="sibTrans" cxnId="{04C07BAA-4C15-4384-8D20-9DDEB804C761}">
      <dgm:prSet/>
      <dgm:spPr/>
      <dgm:t>
        <a:bodyPr/>
        <a:lstStyle/>
        <a:p>
          <a:endParaRPr lang="en-US"/>
        </a:p>
      </dgm:t>
    </dgm:pt>
    <dgm:pt modelId="{62AC852D-35D0-4CA1-A605-122FEC6566C5}">
      <dgm:prSet phldrT="[Text]" custT="1"/>
      <dgm:spPr/>
      <dgm:t>
        <a:bodyPr/>
        <a:lstStyle/>
        <a:p>
          <a:r>
            <a:rPr lang="en-US" sz="1050"/>
            <a:t>Procurement of equipments, furnitures and fittings</a:t>
          </a:r>
        </a:p>
      </dgm:t>
    </dgm:pt>
    <dgm:pt modelId="{B383C3A9-8B93-44F7-A5BD-F1486007085C}" type="parTrans" cxnId="{01CEF986-2B3E-4F9B-8B3C-CD82B7A8F9C9}">
      <dgm:prSet/>
      <dgm:spPr/>
      <dgm:t>
        <a:bodyPr/>
        <a:lstStyle/>
        <a:p>
          <a:endParaRPr lang="en-US"/>
        </a:p>
      </dgm:t>
    </dgm:pt>
    <dgm:pt modelId="{65172FC5-BB68-4AD8-89C2-187501EECE93}" type="sibTrans" cxnId="{01CEF986-2B3E-4F9B-8B3C-CD82B7A8F9C9}">
      <dgm:prSet/>
      <dgm:spPr/>
      <dgm:t>
        <a:bodyPr/>
        <a:lstStyle/>
        <a:p>
          <a:endParaRPr lang="en-US"/>
        </a:p>
      </dgm:t>
    </dgm:pt>
    <dgm:pt modelId="{C6292EE0-419B-4C76-8946-9336128FD79C}">
      <dgm:prSet phldrT="[Text]" custT="1"/>
      <dgm:spPr/>
      <dgm:t>
        <a:bodyPr/>
        <a:lstStyle/>
        <a:p>
          <a:r>
            <a:rPr lang="en-US" sz="900"/>
            <a:t>Restoration of Department level administration</a:t>
          </a:r>
        </a:p>
      </dgm:t>
    </dgm:pt>
    <dgm:pt modelId="{2D96BB9E-8448-4AF1-A9B4-248B1B584FED}" type="sibTrans" cxnId="{4DCC16CD-C2E9-44B7-A937-8EB32058BE0D}">
      <dgm:prSet/>
      <dgm:spPr/>
      <dgm:t>
        <a:bodyPr/>
        <a:lstStyle/>
        <a:p>
          <a:endParaRPr lang="en-US"/>
        </a:p>
      </dgm:t>
    </dgm:pt>
    <dgm:pt modelId="{A776A733-224E-4CD2-95E0-EC3EF69D1018}" type="parTrans" cxnId="{4DCC16CD-C2E9-44B7-A937-8EB32058BE0D}">
      <dgm:prSet/>
      <dgm:spPr/>
      <dgm:t>
        <a:bodyPr/>
        <a:lstStyle/>
        <a:p>
          <a:endParaRPr lang="en-US"/>
        </a:p>
      </dgm:t>
    </dgm:pt>
    <dgm:pt modelId="{AD3755C3-3F00-4C47-A39F-0A6244596BE5}">
      <dgm:prSet phldrT="[Text]" custT="1"/>
      <dgm:spPr/>
      <dgm:t>
        <a:bodyPr/>
        <a:lstStyle/>
        <a:p>
          <a:r>
            <a:rPr lang="en-US" sz="900"/>
            <a:t>Restoration of IT Labs, and special purpose classroom</a:t>
          </a:r>
        </a:p>
      </dgm:t>
    </dgm:pt>
    <dgm:pt modelId="{1B73F905-1F73-465D-864B-AE4BA76FF296}" type="parTrans" cxnId="{DB8C806B-C5E7-4D67-9D76-16FBD2B176D7}">
      <dgm:prSet/>
      <dgm:spPr/>
      <dgm:t>
        <a:bodyPr/>
        <a:lstStyle/>
        <a:p>
          <a:endParaRPr lang="en-US"/>
        </a:p>
      </dgm:t>
    </dgm:pt>
    <dgm:pt modelId="{AF4381DE-E3CC-423F-BE67-70E157315899}" type="sibTrans" cxnId="{DB8C806B-C5E7-4D67-9D76-16FBD2B176D7}">
      <dgm:prSet/>
      <dgm:spPr/>
      <dgm:t>
        <a:bodyPr/>
        <a:lstStyle/>
        <a:p>
          <a:endParaRPr lang="en-US"/>
        </a:p>
      </dgm:t>
    </dgm:pt>
    <dgm:pt modelId="{B1FA9829-AB64-4AF0-A26A-7955D70B5653}">
      <dgm:prSet phldrT="[Text]" custT="1"/>
      <dgm:spPr/>
      <dgm:t>
        <a:bodyPr/>
        <a:lstStyle/>
        <a:p>
          <a:r>
            <a:rPr lang="en-US" sz="1000"/>
            <a:t> procurement and fixing of necessary equipments for teaching and learning</a:t>
          </a:r>
        </a:p>
      </dgm:t>
    </dgm:pt>
    <dgm:pt modelId="{223F5664-ADC4-4474-88F8-9DC363BCD9FE}" type="parTrans" cxnId="{2BF1192D-C8BA-4752-9545-0C72641FA841}">
      <dgm:prSet/>
      <dgm:spPr/>
      <dgm:t>
        <a:bodyPr/>
        <a:lstStyle/>
        <a:p>
          <a:endParaRPr lang="en-US"/>
        </a:p>
      </dgm:t>
    </dgm:pt>
    <dgm:pt modelId="{D360FCD9-E51F-46F0-807D-CD7CC572987E}" type="sibTrans" cxnId="{2BF1192D-C8BA-4752-9545-0C72641FA841}">
      <dgm:prSet/>
      <dgm:spPr/>
      <dgm:t>
        <a:bodyPr/>
        <a:lstStyle/>
        <a:p>
          <a:endParaRPr lang="en-US"/>
        </a:p>
      </dgm:t>
    </dgm:pt>
    <dgm:pt modelId="{DA01D140-FDB3-41E4-9D77-44B4CEE0AD77}">
      <dgm:prSet phldrT="[Text]" custT="1"/>
      <dgm:spPr/>
      <dgm:t>
        <a:bodyPr/>
        <a:lstStyle/>
        <a:p>
          <a:r>
            <a:rPr lang="en-US" sz="1000"/>
            <a:t>Resumption of Teaching, Research and Learning</a:t>
          </a:r>
        </a:p>
      </dgm:t>
    </dgm:pt>
    <dgm:pt modelId="{23286B52-1EAF-4BF1-B73C-85300C47F5E0}" type="parTrans" cxnId="{F8D0E744-2617-4B1D-A0DD-20E66640CFF5}">
      <dgm:prSet/>
      <dgm:spPr/>
      <dgm:t>
        <a:bodyPr/>
        <a:lstStyle/>
        <a:p>
          <a:endParaRPr lang="en-US"/>
        </a:p>
      </dgm:t>
    </dgm:pt>
    <dgm:pt modelId="{FBE1008E-42E0-4769-AF12-5F2984F5BF2F}" type="sibTrans" cxnId="{F8D0E744-2617-4B1D-A0DD-20E66640CFF5}">
      <dgm:prSet/>
      <dgm:spPr/>
      <dgm:t>
        <a:bodyPr/>
        <a:lstStyle/>
        <a:p>
          <a:endParaRPr lang="en-US"/>
        </a:p>
      </dgm:t>
    </dgm:pt>
    <dgm:pt modelId="{3FE30EDB-78B5-4788-BC3D-10E5753F3A80}">
      <dgm:prSet/>
      <dgm:spPr/>
      <dgm:t>
        <a:bodyPr/>
        <a:lstStyle/>
        <a:p>
          <a:endParaRPr lang="en-US"/>
        </a:p>
      </dgm:t>
    </dgm:pt>
    <dgm:pt modelId="{E3B25441-4A77-49A8-B1B6-FBD94E9FEDE8}" type="sibTrans" cxnId="{11CE9A34-A1B6-4D5B-8370-B3D6357CCAA4}">
      <dgm:prSet/>
      <dgm:spPr/>
      <dgm:t>
        <a:bodyPr/>
        <a:lstStyle/>
        <a:p>
          <a:endParaRPr lang="en-US"/>
        </a:p>
      </dgm:t>
    </dgm:pt>
    <dgm:pt modelId="{CEA0F92C-C234-46EE-8DD4-F899864D81E2}" type="parTrans" cxnId="{11CE9A34-A1B6-4D5B-8370-B3D6357CCAA4}">
      <dgm:prSet/>
      <dgm:spPr/>
      <dgm:t>
        <a:bodyPr/>
        <a:lstStyle/>
        <a:p>
          <a:endParaRPr lang="en-US"/>
        </a:p>
      </dgm:t>
    </dgm:pt>
    <dgm:pt modelId="{49091135-7415-4478-9B24-30C42B1B348F}">
      <dgm:prSet/>
      <dgm:spPr/>
      <dgm:t>
        <a:bodyPr/>
        <a:lstStyle/>
        <a:p>
          <a:endParaRPr lang="en-US"/>
        </a:p>
      </dgm:t>
    </dgm:pt>
    <dgm:pt modelId="{3E07D344-2D4F-4996-AD64-700105C0F182}" type="parTrans" cxnId="{6000AAB0-956F-4BCE-ABB4-863D20A64A16}">
      <dgm:prSet/>
      <dgm:spPr/>
      <dgm:t>
        <a:bodyPr/>
        <a:lstStyle/>
        <a:p>
          <a:endParaRPr lang="en-US"/>
        </a:p>
      </dgm:t>
    </dgm:pt>
    <dgm:pt modelId="{8ABF2DE8-B78F-4051-A747-E82E3E455E22}" type="sibTrans" cxnId="{6000AAB0-956F-4BCE-ABB4-863D20A64A16}">
      <dgm:prSet/>
      <dgm:spPr/>
      <dgm:t>
        <a:bodyPr/>
        <a:lstStyle/>
        <a:p>
          <a:endParaRPr lang="en-US"/>
        </a:p>
      </dgm:t>
    </dgm:pt>
    <dgm:pt modelId="{391BD3D9-3B80-4188-8BA5-430DE6B8401D}">
      <dgm:prSet/>
      <dgm:spPr/>
      <dgm:t>
        <a:bodyPr/>
        <a:lstStyle/>
        <a:p>
          <a:endParaRPr lang="en-US"/>
        </a:p>
      </dgm:t>
    </dgm:pt>
    <dgm:pt modelId="{B98375BB-AB5A-481F-A219-844ED91C7D39}" type="parTrans" cxnId="{19A2AFDF-247D-4B05-ACAD-3974E0EF18E2}">
      <dgm:prSet/>
      <dgm:spPr/>
      <dgm:t>
        <a:bodyPr/>
        <a:lstStyle/>
        <a:p>
          <a:endParaRPr lang="en-US"/>
        </a:p>
      </dgm:t>
    </dgm:pt>
    <dgm:pt modelId="{9585082A-96C1-4C8B-9A1A-5793C776F45E}" type="sibTrans" cxnId="{19A2AFDF-247D-4B05-ACAD-3974E0EF18E2}">
      <dgm:prSet/>
      <dgm:spPr/>
      <dgm:t>
        <a:bodyPr/>
        <a:lstStyle/>
        <a:p>
          <a:endParaRPr lang="en-US"/>
        </a:p>
      </dgm:t>
    </dgm:pt>
    <dgm:pt modelId="{89B31F74-D5C3-4577-A54C-87DEBB39BFA4}">
      <dgm:prSet/>
      <dgm:spPr/>
      <dgm:t>
        <a:bodyPr/>
        <a:lstStyle/>
        <a:p>
          <a:endParaRPr lang="en-US"/>
        </a:p>
      </dgm:t>
    </dgm:pt>
    <dgm:pt modelId="{C97CB91B-B79D-4ABA-9AAC-60A473A3D243}" type="parTrans" cxnId="{C4D21A2E-300E-49C6-9059-5B238E4B3CE2}">
      <dgm:prSet/>
      <dgm:spPr/>
      <dgm:t>
        <a:bodyPr/>
        <a:lstStyle/>
        <a:p>
          <a:endParaRPr lang="en-US"/>
        </a:p>
      </dgm:t>
    </dgm:pt>
    <dgm:pt modelId="{64C8B96C-E742-40AE-926E-A2626CFAEAC3}" type="sibTrans" cxnId="{C4D21A2E-300E-49C6-9059-5B238E4B3CE2}">
      <dgm:prSet/>
      <dgm:spPr/>
      <dgm:t>
        <a:bodyPr/>
        <a:lstStyle/>
        <a:p>
          <a:endParaRPr lang="en-US"/>
        </a:p>
      </dgm:t>
    </dgm:pt>
    <dgm:pt modelId="{F203AB46-0CD5-4F36-865D-81ED782006ED}">
      <dgm:prSet/>
      <dgm:spPr/>
      <dgm:t>
        <a:bodyPr/>
        <a:lstStyle/>
        <a:p>
          <a:endParaRPr lang="en-US"/>
        </a:p>
      </dgm:t>
    </dgm:pt>
    <dgm:pt modelId="{CF8CF364-7E43-4979-99B4-6A5EE9B39B7A}" type="parTrans" cxnId="{3199DFD8-1575-4956-947D-5A368CAC85FC}">
      <dgm:prSet/>
      <dgm:spPr/>
      <dgm:t>
        <a:bodyPr/>
        <a:lstStyle/>
        <a:p>
          <a:endParaRPr lang="en-US"/>
        </a:p>
      </dgm:t>
    </dgm:pt>
    <dgm:pt modelId="{4B321E02-2794-4DF3-AE91-561674BADD85}" type="sibTrans" cxnId="{3199DFD8-1575-4956-947D-5A368CAC85FC}">
      <dgm:prSet/>
      <dgm:spPr/>
      <dgm:t>
        <a:bodyPr/>
        <a:lstStyle/>
        <a:p>
          <a:endParaRPr lang="en-US"/>
        </a:p>
      </dgm:t>
    </dgm:pt>
    <dgm:pt modelId="{89736720-5541-40C6-B5F6-1D92861D88FD}" type="pres">
      <dgm:prSet presAssocID="{17B56D15-5964-4B10-AD92-AC71753BEFE1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</dgm:pt>
    <dgm:pt modelId="{FBCE52F9-769F-452A-81FA-652FE135E34A}" type="pres">
      <dgm:prSet presAssocID="{17B56D15-5964-4B10-AD92-AC71753BEFE1}" presName="outerBox" presStyleCnt="0"/>
      <dgm:spPr/>
    </dgm:pt>
    <dgm:pt modelId="{715D76E9-F5B3-4B46-8C09-D3EB3DDD0E51}" type="pres">
      <dgm:prSet presAssocID="{17B56D15-5964-4B10-AD92-AC71753BEFE1}" presName="outerBoxParent" presStyleLbl="node1" presStyleIdx="0" presStyleCnt="3"/>
      <dgm:spPr/>
    </dgm:pt>
    <dgm:pt modelId="{257E65AE-2AD1-4FF9-9D02-979067510A05}" type="pres">
      <dgm:prSet presAssocID="{17B56D15-5964-4B10-AD92-AC71753BEFE1}" presName="outerBoxChildren" presStyleCnt="0"/>
      <dgm:spPr/>
    </dgm:pt>
    <dgm:pt modelId="{27729BF5-F626-4AC6-992C-6166E7ED6740}" type="pres">
      <dgm:prSet presAssocID="{79317FA9-7255-47D6-8783-C0266F0A1621}" presName="oChild" presStyleLbl="fgAcc1" presStyleIdx="0" presStyleCnt="9" custScaleX="124466" custLinFactY="-25039" custLinFactNeighborY="-100000">
        <dgm:presLayoutVars>
          <dgm:bulletEnabled val="1"/>
        </dgm:presLayoutVars>
      </dgm:prSet>
      <dgm:spPr/>
    </dgm:pt>
    <dgm:pt modelId="{46895459-B683-43AB-83BB-C8E7DBB48EE8}" type="pres">
      <dgm:prSet presAssocID="{7E781E1C-FA99-4E7C-AF56-345ECC1A32F7}" presName="outerSibTrans" presStyleCnt="0"/>
      <dgm:spPr/>
    </dgm:pt>
    <dgm:pt modelId="{CDB7CBB3-00DE-4345-BC8A-B54D48EF5E36}" type="pres">
      <dgm:prSet presAssocID="{B801B818-0CB8-49BE-87CC-E56897D20E6D}" presName="oChild" presStyleLbl="fgAcc1" presStyleIdx="1" presStyleCnt="9" custScaleX="122824" custLinFactY="-21467" custLinFactNeighborY="-100000">
        <dgm:presLayoutVars>
          <dgm:bulletEnabled val="1"/>
        </dgm:presLayoutVars>
      </dgm:prSet>
      <dgm:spPr/>
    </dgm:pt>
    <dgm:pt modelId="{AC9A169D-177D-4748-8C1A-F810D9771410}" type="pres">
      <dgm:prSet presAssocID="{95F83EDE-52E2-40F9-9709-F11A1755C2F4}" presName="outerSibTrans" presStyleCnt="0"/>
      <dgm:spPr/>
    </dgm:pt>
    <dgm:pt modelId="{25314056-9F2B-459E-8064-C07D92828A21}" type="pres">
      <dgm:prSet presAssocID="{62AC852D-35D0-4CA1-A605-122FEC6566C5}" presName="oChild" presStyleLbl="fgAcc1" presStyleIdx="2" presStyleCnt="9" custScaleX="117898" custLinFactY="-17002" custLinFactNeighborY="-100000">
        <dgm:presLayoutVars>
          <dgm:bulletEnabled val="1"/>
        </dgm:presLayoutVars>
      </dgm:prSet>
      <dgm:spPr/>
    </dgm:pt>
    <dgm:pt modelId="{C104258C-073B-4B3A-A288-C0BF93B186F9}" type="pres">
      <dgm:prSet presAssocID="{17B56D15-5964-4B10-AD92-AC71753BEFE1}" presName="middleBox" presStyleCnt="0"/>
      <dgm:spPr/>
    </dgm:pt>
    <dgm:pt modelId="{A4530555-5107-4EDF-87DD-2E035FCAD09E}" type="pres">
      <dgm:prSet presAssocID="{17B56D15-5964-4B10-AD92-AC71753BEFE1}" presName="middleBoxParent" presStyleLbl="node1" presStyleIdx="1" presStyleCnt="3" custLinFactNeighborY="-6960"/>
      <dgm:spPr/>
    </dgm:pt>
    <dgm:pt modelId="{A283C8CF-2C02-4AC1-9883-986244A7F237}" type="pres">
      <dgm:prSet presAssocID="{17B56D15-5964-4B10-AD92-AC71753BEFE1}" presName="middleBoxChildren" presStyleCnt="0"/>
      <dgm:spPr/>
    </dgm:pt>
    <dgm:pt modelId="{75F7BB64-EFFC-45B8-9942-813CF93F02C0}" type="pres">
      <dgm:prSet presAssocID="{61B4C105-B1C0-4169-9830-11032698C633}" presName="mChild" presStyleLbl="fgAcc1" presStyleIdx="3" presStyleCnt="9" custScaleY="140887" custLinFactY="-103806" custLinFactNeighborY="-200000">
        <dgm:presLayoutVars>
          <dgm:bulletEnabled val="1"/>
        </dgm:presLayoutVars>
      </dgm:prSet>
      <dgm:spPr/>
    </dgm:pt>
    <dgm:pt modelId="{65AC9E6E-FCC1-4732-B643-280B6D37EF42}" type="pres">
      <dgm:prSet presAssocID="{1F45B022-A4E4-4F6E-926E-9E1F0BEE9478}" presName="middleSibTrans" presStyleCnt="0"/>
      <dgm:spPr/>
    </dgm:pt>
    <dgm:pt modelId="{4BDACCA9-2D6E-48B1-B464-228D5002AF21}" type="pres">
      <dgm:prSet presAssocID="{C6292EE0-419B-4C76-8946-9336128FD79C}" presName="mChild" presStyleLbl="fgAcc1" presStyleIdx="4" presStyleCnt="9" custScaleX="112712" custScaleY="142623" custLinFactY="-93326" custLinFactNeighborX="-3172" custLinFactNeighborY="-100000">
        <dgm:presLayoutVars>
          <dgm:bulletEnabled val="1"/>
        </dgm:presLayoutVars>
      </dgm:prSet>
      <dgm:spPr/>
    </dgm:pt>
    <dgm:pt modelId="{235C0B28-CD77-4805-AB4A-B41655CC5E2D}" type="pres">
      <dgm:prSet presAssocID="{2D96BB9E-8448-4AF1-A9B4-248B1B584FED}" presName="middleSibTrans" presStyleCnt="0"/>
      <dgm:spPr/>
    </dgm:pt>
    <dgm:pt modelId="{C7648CE6-AAAF-4D70-AFC9-949504664D7F}" type="pres">
      <dgm:prSet presAssocID="{AD3755C3-3F00-4C47-A39F-0A6244596BE5}" presName="mChild" presStyleLbl="fgAcc1" presStyleIdx="5" presStyleCnt="9" custScaleX="117492" custScaleY="136822" custLinFactY="-62279" custLinFactNeighborY="-100000">
        <dgm:presLayoutVars>
          <dgm:bulletEnabled val="1"/>
        </dgm:presLayoutVars>
      </dgm:prSet>
      <dgm:spPr/>
    </dgm:pt>
    <dgm:pt modelId="{6427ED01-B786-40EF-B9A7-5E7FE20B4E51}" type="pres">
      <dgm:prSet presAssocID="{17B56D15-5964-4B10-AD92-AC71753BEFE1}" presName="centerBox" presStyleCnt="0"/>
      <dgm:spPr/>
    </dgm:pt>
    <dgm:pt modelId="{2E3BA616-0B8F-4421-8177-4CCD44006BB2}" type="pres">
      <dgm:prSet presAssocID="{17B56D15-5964-4B10-AD92-AC71753BEFE1}" presName="centerBoxParent" presStyleLbl="node1" presStyleIdx="2" presStyleCnt="3" custScaleY="110986" custLinFactNeighborY="-18796"/>
      <dgm:spPr/>
    </dgm:pt>
    <dgm:pt modelId="{E0013D5D-D6C9-40AD-AC4E-03F2F7CA82B3}" type="pres">
      <dgm:prSet presAssocID="{17B56D15-5964-4B10-AD92-AC71753BEFE1}" presName="centerBoxChildren" presStyleCnt="0"/>
      <dgm:spPr/>
    </dgm:pt>
    <dgm:pt modelId="{5BEC68C5-58CB-44FE-8E2F-6247097981F8}" type="pres">
      <dgm:prSet presAssocID="{B6963B16-E777-422C-A497-1C536F015695}" presName="cChild" presStyleLbl="fgAcc1" presStyleIdx="6" presStyleCnt="9" custScaleY="130378" custLinFactX="1445" custLinFactNeighborX="100000" custLinFactNeighborY="-61098">
        <dgm:presLayoutVars>
          <dgm:bulletEnabled val="1"/>
        </dgm:presLayoutVars>
      </dgm:prSet>
      <dgm:spPr/>
    </dgm:pt>
    <dgm:pt modelId="{54631922-06D9-4127-B498-41FD0DCB959D}" type="pres">
      <dgm:prSet presAssocID="{75AAE6CD-4217-4F39-AFDB-8D4D1DB81D2B}" presName="centerSibTrans" presStyleCnt="0"/>
      <dgm:spPr/>
    </dgm:pt>
    <dgm:pt modelId="{D91B621F-7908-4B2B-ABD8-6EEF1AA17B07}" type="pres">
      <dgm:prSet presAssocID="{B1FA9829-AB64-4AF0-A26A-7955D70B5653}" presName="cChild" presStyleLbl="fgAcc1" presStyleIdx="7" presStyleCnt="9" custScaleY="147242" custLinFactNeighborY="-55315">
        <dgm:presLayoutVars>
          <dgm:bulletEnabled val="1"/>
        </dgm:presLayoutVars>
      </dgm:prSet>
      <dgm:spPr/>
    </dgm:pt>
    <dgm:pt modelId="{82204D32-3842-43CA-A80F-814758F3F192}" type="pres">
      <dgm:prSet presAssocID="{D360FCD9-E51F-46F0-807D-CD7CC572987E}" presName="centerSibTrans" presStyleCnt="0"/>
      <dgm:spPr/>
    </dgm:pt>
    <dgm:pt modelId="{16AF8D79-B02A-46B8-956D-A426752F11A3}" type="pres">
      <dgm:prSet presAssocID="{DA01D140-FDB3-41E4-9D77-44B4CEE0AD77}" presName="cChild" presStyleLbl="fgAcc1" presStyleIdx="8" presStyleCnt="9" custLinFactNeighborY="-57579">
        <dgm:presLayoutVars>
          <dgm:bulletEnabled val="1"/>
        </dgm:presLayoutVars>
      </dgm:prSet>
      <dgm:spPr/>
    </dgm:pt>
  </dgm:ptLst>
  <dgm:cxnLst>
    <dgm:cxn modelId="{7D351B01-A176-4B88-AFB5-528019DCEADA}" type="presOf" srcId="{590DBCE0-01CD-4F61-A142-49E447387753}" destId="{A4530555-5107-4EDF-87DD-2E035FCAD09E}" srcOrd="0" destOrd="0" presId="urn:microsoft.com/office/officeart/2005/8/layout/target2"/>
    <dgm:cxn modelId="{1CEB5C12-210C-477D-A51B-A909C6E578E2}" type="presOf" srcId="{B1FA9829-AB64-4AF0-A26A-7955D70B5653}" destId="{D91B621F-7908-4B2B-ABD8-6EEF1AA17B07}" srcOrd="0" destOrd="0" presId="urn:microsoft.com/office/officeart/2005/8/layout/target2"/>
    <dgm:cxn modelId="{F68A5115-4536-40D4-A5B4-B30C1F3E2B2F}" type="presOf" srcId="{B6963B16-E777-422C-A497-1C536F015695}" destId="{5BEC68C5-58CB-44FE-8E2F-6247097981F8}" srcOrd="0" destOrd="0" presId="urn:microsoft.com/office/officeart/2005/8/layout/target2"/>
    <dgm:cxn modelId="{2BF1192D-C8BA-4752-9545-0C72641FA841}" srcId="{DA6E1B34-401B-40AA-B2EB-2E2236B27A3A}" destId="{B1FA9829-AB64-4AF0-A26A-7955D70B5653}" srcOrd="1" destOrd="0" parTransId="{223F5664-ADC4-4474-88F8-9DC363BCD9FE}" sibTransId="{D360FCD9-E51F-46F0-807D-CD7CC572987E}"/>
    <dgm:cxn modelId="{C4D21A2E-300E-49C6-9059-5B238E4B3CE2}" srcId="{3FE30EDB-78B5-4788-BC3D-10E5753F3A80}" destId="{89B31F74-D5C3-4577-A54C-87DEBB39BFA4}" srcOrd="2" destOrd="0" parTransId="{C97CB91B-B79D-4ABA-9AAC-60A473A3D243}" sibTransId="{64C8B96C-E742-40AE-926E-A2626CFAEAC3}"/>
    <dgm:cxn modelId="{11CE9A34-A1B6-4D5B-8370-B3D6357CCAA4}" srcId="{17B56D15-5964-4B10-AD92-AC71753BEFE1}" destId="{3FE30EDB-78B5-4788-BC3D-10E5753F3A80}" srcOrd="3" destOrd="0" parTransId="{CEA0F92C-C234-46EE-8DD4-F899864D81E2}" sibTransId="{E3B25441-4A77-49A8-B1B6-FBD94E9FEDE8}"/>
    <dgm:cxn modelId="{1BDA3943-1985-408E-A7DC-2323D42A53C0}" type="presOf" srcId="{DA6E1B34-401B-40AA-B2EB-2E2236B27A3A}" destId="{2E3BA616-0B8F-4421-8177-4CCD44006BB2}" srcOrd="0" destOrd="0" presId="urn:microsoft.com/office/officeart/2005/8/layout/target2"/>
    <dgm:cxn modelId="{F8D0E744-2617-4B1D-A0DD-20E66640CFF5}" srcId="{DA6E1B34-401B-40AA-B2EB-2E2236B27A3A}" destId="{DA01D140-FDB3-41E4-9D77-44B4CEE0AD77}" srcOrd="2" destOrd="0" parTransId="{23286B52-1EAF-4BF1-B73C-85300C47F5E0}" sibTransId="{FBE1008E-42E0-4769-AF12-5F2984F5BF2F}"/>
    <dgm:cxn modelId="{AB5A9347-90D3-4500-B0B1-81956366955F}" type="presOf" srcId="{62AC852D-35D0-4CA1-A605-122FEC6566C5}" destId="{25314056-9F2B-459E-8064-C07D92828A21}" srcOrd="0" destOrd="0" presId="urn:microsoft.com/office/officeart/2005/8/layout/target2"/>
    <dgm:cxn modelId="{3C13274A-EAF0-41E4-8C73-F39F058729F9}" srcId="{17B56D15-5964-4B10-AD92-AC71753BEFE1}" destId="{DA6E1B34-401B-40AA-B2EB-2E2236B27A3A}" srcOrd="2" destOrd="0" parTransId="{17AC5B02-B164-4818-9AC6-9824A8FB5959}" sibTransId="{4444FFF6-AA08-451B-A77A-58C29C98549A}"/>
    <dgm:cxn modelId="{DB8C806B-C5E7-4D67-9D76-16FBD2B176D7}" srcId="{590DBCE0-01CD-4F61-A142-49E447387753}" destId="{AD3755C3-3F00-4C47-A39F-0A6244596BE5}" srcOrd="2" destOrd="0" parTransId="{1B73F905-1F73-465D-864B-AE4BA76FF296}" sibTransId="{AF4381DE-E3CC-423F-BE67-70E157315899}"/>
    <dgm:cxn modelId="{01CEF986-2B3E-4F9B-8B3C-CD82B7A8F9C9}" srcId="{657AAADA-98F1-41BB-A085-A97B9278C41F}" destId="{62AC852D-35D0-4CA1-A605-122FEC6566C5}" srcOrd="2" destOrd="0" parTransId="{B383C3A9-8B93-44F7-A5BD-F1486007085C}" sibTransId="{65172FC5-BB68-4AD8-89C2-187501EECE93}"/>
    <dgm:cxn modelId="{612FC992-A3A9-491F-8F18-4FFE47BBB86E}" type="presOf" srcId="{657AAADA-98F1-41BB-A085-A97B9278C41F}" destId="{715D76E9-F5B3-4B46-8C09-D3EB3DDD0E51}" srcOrd="0" destOrd="0" presId="urn:microsoft.com/office/officeart/2005/8/layout/target2"/>
    <dgm:cxn modelId="{A804D4A1-E73D-4448-9283-E74704C89B48}" type="presOf" srcId="{AD3755C3-3F00-4C47-A39F-0A6244596BE5}" destId="{C7648CE6-AAAF-4D70-AFC9-949504664D7F}" srcOrd="0" destOrd="0" presId="urn:microsoft.com/office/officeart/2005/8/layout/target2"/>
    <dgm:cxn modelId="{04C07BAA-4C15-4384-8D20-9DDEB804C761}" srcId="{DA6E1B34-401B-40AA-B2EB-2E2236B27A3A}" destId="{B6963B16-E777-422C-A497-1C536F015695}" srcOrd="0" destOrd="0" parTransId="{356E0DC0-E59E-404D-8CB5-9031C1A2550C}" sibTransId="{75AAE6CD-4217-4F39-AFDB-8D4D1DB81D2B}"/>
    <dgm:cxn modelId="{6000AAB0-956F-4BCE-ABB4-863D20A64A16}" srcId="{3FE30EDB-78B5-4788-BC3D-10E5753F3A80}" destId="{49091135-7415-4478-9B24-30C42B1B348F}" srcOrd="0" destOrd="0" parTransId="{3E07D344-2D4F-4996-AD64-700105C0F182}" sibTransId="{8ABF2DE8-B78F-4051-A747-E82E3E455E22}"/>
    <dgm:cxn modelId="{71CC0BB4-2C86-4EC4-BE62-9549B8FA2F0B}" srcId="{657AAADA-98F1-41BB-A085-A97B9278C41F}" destId="{79317FA9-7255-47D6-8783-C0266F0A1621}" srcOrd="0" destOrd="0" parTransId="{7BD33E34-5FC1-4848-958D-6B0C3AA10521}" sibTransId="{7E781E1C-FA99-4E7C-AF56-345ECC1A32F7}"/>
    <dgm:cxn modelId="{D50F0CBD-5C00-4B4A-88B4-1BA1606A6307}" srcId="{17B56D15-5964-4B10-AD92-AC71753BEFE1}" destId="{590DBCE0-01CD-4F61-A142-49E447387753}" srcOrd="1" destOrd="0" parTransId="{3751ED85-27EF-42E4-A265-B20C38A5CE08}" sibTransId="{CA4D0A12-B928-4575-9C54-BEFCA7F2E6C6}"/>
    <dgm:cxn modelId="{1A5E9EBF-35D1-4C96-A1A0-C55A75179E7B}" srcId="{17B56D15-5964-4B10-AD92-AC71753BEFE1}" destId="{657AAADA-98F1-41BB-A085-A97B9278C41F}" srcOrd="0" destOrd="0" parTransId="{4DDF790D-D534-4A86-BB5E-9E2D07881E70}" sibTransId="{C326EB42-94C1-4AEB-8255-CCF64C1C279F}"/>
    <dgm:cxn modelId="{A0D4C2C6-EED6-482D-8B60-23FD20B12F32}" type="presOf" srcId="{61B4C105-B1C0-4169-9830-11032698C633}" destId="{75F7BB64-EFFC-45B8-9942-813CF93F02C0}" srcOrd="0" destOrd="0" presId="urn:microsoft.com/office/officeart/2005/8/layout/target2"/>
    <dgm:cxn modelId="{DD6D94C7-F731-4021-BE53-1C1D27D14CBB}" type="presOf" srcId="{C6292EE0-419B-4C76-8946-9336128FD79C}" destId="{4BDACCA9-2D6E-48B1-B464-228D5002AF21}" srcOrd="0" destOrd="0" presId="urn:microsoft.com/office/officeart/2005/8/layout/target2"/>
    <dgm:cxn modelId="{659482C9-5D6C-4ADA-938F-19E44CDF65AA}" type="presOf" srcId="{DA01D140-FDB3-41E4-9D77-44B4CEE0AD77}" destId="{16AF8D79-B02A-46B8-956D-A426752F11A3}" srcOrd="0" destOrd="0" presId="urn:microsoft.com/office/officeart/2005/8/layout/target2"/>
    <dgm:cxn modelId="{251905CA-2E13-41D2-A001-DEB3449F7901}" type="presOf" srcId="{79317FA9-7255-47D6-8783-C0266F0A1621}" destId="{27729BF5-F626-4AC6-992C-6166E7ED6740}" srcOrd="0" destOrd="0" presId="urn:microsoft.com/office/officeart/2005/8/layout/target2"/>
    <dgm:cxn modelId="{4DCC16CD-C2E9-44B7-A937-8EB32058BE0D}" srcId="{590DBCE0-01CD-4F61-A142-49E447387753}" destId="{C6292EE0-419B-4C76-8946-9336128FD79C}" srcOrd="1" destOrd="0" parTransId="{A776A733-224E-4CD2-95E0-EC3EF69D1018}" sibTransId="{2D96BB9E-8448-4AF1-A9B4-248B1B584FED}"/>
    <dgm:cxn modelId="{6ECDD8D5-AE15-40B5-86EF-97C612702ABC}" srcId="{590DBCE0-01CD-4F61-A142-49E447387753}" destId="{61B4C105-B1C0-4169-9830-11032698C633}" srcOrd="0" destOrd="0" parTransId="{1FA7A428-DDEF-4CE1-8EAB-172F50A928DC}" sibTransId="{1F45B022-A4E4-4F6E-926E-9E1F0BEE9478}"/>
    <dgm:cxn modelId="{3199DFD8-1575-4956-947D-5A368CAC85FC}" srcId="{3FE30EDB-78B5-4788-BC3D-10E5753F3A80}" destId="{F203AB46-0CD5-4F36-865D-81ED782006ED}" srcOrd="3" destOrd="0" parTransId="{CF8CF364-7E43-4979-99B4-6A5EE9B39B7A}" sibTransId="{4B321E02-2794-4DF3-AE91-561674BADD85}"/>
    <dgm:cxn modelId="{19A2AFDF-247D-4B05-ACAD-3974E0EF18E2}" srcId="{3FE30EDB-78B5-4788-BC3D-10E5753F3A80}" destId="{391BD3D9-3B80-4188-8BA5-430DE6B8401D}" srcOrd="1" destOrd="0" parTransId="{B98375BB-AB5A-481F-A219-844ED91C7D39}" sibTransId="{9585082A-96C1-4C8B-9A1A-5793C776F45E}"/>
    <dgm:cxn modelId="{21AF83E6-8383-47C6-84BF-17F4FB1C04D1}" srcId="{657AAADA-98F1-41BB-A085-A97B9278C41F}" destId="{B801B818-0CB8-49BE-87CC-E56897D20E6D}" srcOrd="1" destOrd="0" parTransId="{2F0980AC-324C-42CD-B81A-4F698CC58A64}" sibTransId="{95F83EDE-52E2-40F9-9709-F11A1755C2F4}"/>
    <dgm:cxn modelId="{0D5B04E8-EDBE-46B4-B658-C525B6ADDAEE}" type="presOf" srcId="{B801B818-0CB8-49BE-87CC-E56897D20E6D}" destId="{CDB7CBB3-00DE-4345-BC8A-B54D48EF5E36}" srcOrd="0" destOrd="0" presId="urn:microsoft.com/office/officeart/2005/8/layout/target2"/>
    <dgm:cxn modelId="{04F07CEF-0BB0-46EF-B334-91BD59F209C0}" type="presOf" srcId="{17B56D15-5964-4B10-AD92-AC71753BEFE1}" destId="{89736720-5541-40C6-B5F6-1D92861D88FD}" srcOrd="0" destOrd="0" presId="urn:microsoft.com/office/officeart/2005/8/layout/target2"/>
    <dgm:cxn modelId="{0E14AE12-F527-4E98-853C-BF737DC6FFDA}" type="presParOf" srcId="{89736720-5541-40C6-B5F6-1D92861D88FD}" destId="{FBCE52F9-769F-452A-81FA-652FE135E34A}" srcOrd="0" destOrd="0" presId="urn:microsoft.com/office/officeart/2005/8/layout/target2"/>
    <dgm:cxn modelId="{12CB4D39-263D-45FB-BE79-9A3E28D15AF8}" type="presParOf" srcId="{FBCE52F9-769F-452A-81FA-652FE135E34A}" destId="{715D76E9-F5B3-4B46-8C09-D3EB3DDD0E51}" srcOrd="0" destOrd="0" presId="urn:microsoft.com/office/officeart/2005/8/layout/target2"/>
    <dgm:cxn modelId="{F6DE1081-9197-4E12-A450-5DA15C87E886}" type="presParOf" srcId="{FBCE52F9-769F-452A-81FA-652FE135E34A}" destId="{257E65AE-2AD1-4FF9-9D02-979067510A05}" srcOrd="1" destOrd="0" presId="urn:microsoft.com/office/officeart/2005/8/layout/target2"/>
    <dgm:cxn modelId="{E25890D9-20A3-44F8-9C6A-D7D761150207}" type="presParOf" srcId="{257E65AE-2AD1-4FF9-9D02-979067510A05}" destId="{27729BF5-F626-4AC6-992C-6166E7ED6740}" srcOrd="0" destOrd="0" presId="urn:microsoft.com/office/officeart/2005/8/layout/target2"/>
    <dgm:cxn modelId="{EAD4B9C5-319D-4166-876C-F917905E9786}" type="presParOf" srcId="{257E65AE-2AD1-4FF9-9D02-979067510A05}" destId="{46895459-B683-43AB-83BB-C8E7DBB48EE8}" srcOrd="1" destOrd="0" presId="urn:microsoft.com/office/officeart/2005/8/layout/target2"/>
    <dgm:cxn modelId="{39C6636F-E26C-4BE9-A2ED-7565D94424CC}" type="presParOf" srcId="{257E65AE-2AD1-4FF9-9D02-979067510A05}" destId="{CDB7CBB3-00DE-4345-BC8A-B54D48EF5E36}" srcOrd="2" destOrd="0" presId="urn:microsoft.com/office/officeart/2005/8/layout/target2"/>
    <dgm:cxn modelId="{8BC6F325-6E56-4CAF-A49A-1BFF799A3397}" type="presParOf" srcId="{257E65AE-2AD1-4FF9-9D02-979067510A05}" destId="{AC9A169D-177D-4748-8C1A-F810D9771410}" srcOrd="3" destOrd="0" presId="urn:microsoft.com/office/officeart/2005/8/layout/target2"/>
    <dgm:cxn modelId="{78E09477-5F5B-4554-8AB9-237F394FA40D}" type="presParOf" srcId="{257E65AE-2AD1-4FF9-9D02-979067510A05}" destId="{25314056-9F2B-459E-8064-C07D92828A21}" srcOrd="4" destOrd="0" presId="urn:microsoft.com/office/officeart/2005/8/layout/target2"/>
    <dgm:cxn modelId="{0DFB9B4A-83AB-43C5-9C5A-F544E5637186}" type="presParOf" srcId="{89736720-5541-40C6-B5F6-1D92861D88FD}" destId="{C104258C-073B-4B3A-A288-C0BF93B186F9}" srcOrd="1" destOrd="0" presId="urn:microsoft.com/office/officeart/2005/8/layout/target2"/>
    <dgm:cxn modelId="{9FED868C-EEB8-4559-85F8-94D132BF08F2}" type="presParOf" srcId="{C104258C-073B-4B3A-A288-C0BF93B186F9}" destId="{A4530555-5107-4EDF-87DD-2E035FCAD09E}" srcOrd="0" destOrd="0" presId="urn:microsoft.com/office/officeart/2005/8/layout/target2"/>
    <dgm:cxn modelId="{F1512FFD-9E19-4396-8C1F-7787614452CC}" type="presParOf" srcId="{C104258C-073B-4B3A-A288-C0BF93B186F9}" destId="{A283C8CF-2C02-4AC1-9883-986244A7F237}" srcOrd="1" destOrd="0" presId="urn:microsoft.com/office/officeart/2005/8/layout/target2"/>
    <dgm:cxn modelId="{69B4B6DB-6D3F-4D70-B9A6-65B4D79AA20B}" type="presParOf" srcId="{A283C8CF-2C02-4AC1-9883-986244A7F237}" destId="{75F7BB64-EFFC-45B8-9942-813CF93F02C0}" srcOrd="0" destOrd="0" presId="urn:microsoft.com/office/officeart/2005/8/layout/target2"/>
    <dgm:cxn modelId="{F24057E0-D8DB-4298-93D0-BCB450F91351}" type="presParOf" srcId="{A283C8CF-2C02-4AC1-9883-986244A7F237}" destId="{65AC9E6E-FCC1-4732-B643-280B6D37EF42}" srcOrd="1" destOrd="0" presId="urn:microsoft.com/office/officeart/2005/8/layout/target2"/>
    <dgm:cxn modelId="{6501A32C-70F4-4D04-90C4-25ECA0F77593}" type="presParOf" srcId="{A283C8CF-2C02-4AC1-9883-986244A7F237}" destId="{4BDACCA9-2D6E-48B1-B464-228D5002AF21}" srcOrd="2" destOrd="0" presId="urn:microsoft.com/office/officeart/2005/8/layout/target2"/>
    <dgm:cxn modelId="{676BE3EE-273D-42FF-9FBB-A1678EFD05C8}" type="presParOf" srcId="{A283C8CF-2C02-4AC1-9883-986244A7F237}" destId="{235C0B28-CD77-4805-AB4A-B41655CC5E2D}" srcOrd="3" destOrd="0" presId="urn:microsoft.com/office/officeart/2005/8/layout/target2"/>
    <dgm:cxn modelId="{BD5C5507-AF2A-408C-A811-C3D1C0E65BF9}" type="presParOf" srcId="{A283C8CF-2C02-4AC1-9883-986244A7F237}" destId="{C7648CE6-AAAF-4D70-AFC9-949504664D7F}" srcOrd="4" destOrd="0" presId="urn:microsoft.com/office/officeart/2005/8/layout/target2"/>
    <dgm:cxn modelId="{996DF70C-55C2-4EB6-B70E-63AF2FC64F4D}" type="presParOf" srcId="{89736720-5541-40C6-B5F6-1D92861D88FD}" destId="{6427ED01-B786-40EF-B9A7-5E7FE20B4E51}" srcOrd="2" destOrd="0" presId="urn:microsoft.com/office/officeart/2005/8/layout/target2"/>
    <dgm:cxn modelId="{E0BE3EA5-C189-4CCB-8AE7-4061F8B2AF54}" type="presParOf" srcId="{6427ED01-B786-40EF-B9A7-5E7FE20B4E51}" destId="{2E3BA616-0B8F-4421-8177-4CCD44006BB2}" srcOrd="0" destOrd="0" presId="urn:microsoft.com/office/officeart/2005/8/layout/target2"/>
    <dgm:cxn modelId="{0B4EE938-C67A-4C96-B75B-A6AB70C62A8E}" type="presParOf" srcId="{6427ED01-B786-40EF-B9A7-5E7FE20B4E51}" destId="{E0013D5D-D6C9-40AD-AC4E-03F2F7CA82B3}" srcOrd="1" destOrd="0" presId="urn:microsoft.com/office/officeart/2005/8/layout/target2"/>
    <dgm:cxn modelId="{D51A1D10-3DD3-4F72-AED2-6797DE776D07}" type="presParOf" srcId="{E0013D5D-D6C9-40AD-AC4E-03F2F7CA82B3}" destId="{5BEC68C5-58CB-44FE-8E2F-6247097981F8}" srcOrd="0" destOrd="0" presId="urn:microsoft.com/office/officeart/2005/8/layout/target2"/>
    <dgm:cxn modelId="{3D4E5487-C9B1-408B-AB80-A337EC98AFAD}" type="presParOf" srcId="{E0013D5D-D6C9-40AD-AC4E-03F2F7CA82B3}" destId="{54631922-06D9-4127-B498-41FD0DCB959D}" srcOrd="1" destOrd="0" presId="urn:microsoft.com/office/officeart/2005/8/layout/target2"/>
    <dgm:cxn modelId="{1B4A3351-6616-454B-8862-FBBF9C32533F}" type="presParOf" srcId="{E0013D5D-D6C9-40AD-AC4E-03F2F7CA82B3}" destId="{D91B621F-7908-4B2B-ABD8-6EEF1AA17B07}" srcOrd="2" destOrd="0" presId="urn:microsoft.com/office/officeart/2005/8/layout/target2"/>
    <dgm:cxn modelId="{EC31F66C-8C94-494F-871E-E88F25E6F738}" type="presParOf" srcId="{E0013D5D-D6C9-40AD-AC4E-03F2F7CA82B3}" destId="{82204D32-3842-43CA-A80F-814758F3F192}" srcOrd="3" destOrd="0" presId="urn:microsoft.com/office/officeart/2005/8/layout/target2"/>
    <dgm:cxn modelId="{04C2BAC6-E87B-4D1C-96B7-BC0CF33E4ED4}" type="presParOf" srcId="{E0013D5D-D6C9-40AD-AC4E-03F2F7CA82B3}" destId="{16AF8D79-B02A-46B8-956D-A426752F11A3}" srcOrd="4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5D76E9-F5B3-4B46-8C09-D3EB3DDD0E51}">
      <dsp:nvSpPr>
        <dsp:cNvPr id="0" name=""/>
        <dsp:cNvSpPr/>
      </dsp:nvSpPr>
      <dsp:spPr>
        <a:xfrm>
          <a:off x="0" y="0"/>
          <a:ext cx="6187440" cy="3215640"/>
        </a:xfrm>
        <a:prstGeom prst="roundRect">
          <a:avLst>
            <a:gd name="adj" fmla="val 8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2495694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PHASE I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(Stakeholder Engagement &amp; Resource Mobilisation)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80055" y="80055"/>
        <a:ext cx="6027330" cy="3055530"/>
      </dsp:txXfrm>
    </dsp:sp>
    <dsp:sp modelId="{27729BF5-F626-4AC6-992C-6166E7ED6740}">
      <dsp:nvSpPr>
        <dsp:cNvPr id="0" name=""/>
        <dsp:cNvSpPr/>
      </dsp:nvSpPr>
      <dsp:spPr>
        <a:xfrm>
          <a:off x="41149" y="591084"/>
          <a:ext cx="1155188" cy="72979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</a:t>
          </a:r>
          <a:r>
            <a:rPr lang="en-US" sz="1200" kern="1200"/>
            <a:t>Repiairs of Building, Electronic equipments</a:t>
          </a:r>
        </a:p>
      </dsp:txBody>
      <dsp:txXfrm>
        <a:off x="63593" y="613528"/>
        <a:ext cx="1110300" cy="684911"/>
      </dsp:txXfrm>
    </dsp:sp>
    <dsp:sp modelId="{CDB7CBB3-00DE-4345-BC8A-B54D48EF5E36}">
      <dsp:nvSpPr>
        <dsp:cNvPr id="0" name=""/>
        <dsp:cNvSpPr/>
      </dsp:nvSpPr>
      <dsp:spPr>
        <a:xfrm>
          <a:off x="48769" y="1377043"/>
          <a:ext cx="1139949" cy="72979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Restoration of networks &amp; electricity</a:t>
          </a:r>
        </a:p>
      </dsp:txBody>
      <dsp:txXfrm>
        <a:off x="71213" y="1399487"/>
        <a:ext cx="1095061" cy="684911"/>
      </dsp:txXfrm>
    </dsp:sp>
    <dsp:sp modelId="{25314056-9F2B-459E-8064-C07D92828A21}">
      <dsp:nvSpPr>
        <dsp:cNvPr id="0" name=""/>
        <dsp:cNvSpPr/>
      </dsp:nvSpPr>
      <dsp:spPr>
        <a:xfrm>
          <a:off x="71628" y="2169519"/>
          <a:ext cx="1094230" cy="72979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Procurement of equipments, furnitures and fittings</a:t>
          </a:r>
        </a:p>
      </dsp:txBody>
      <dsp:txXfrm>
        <a:off x="94072" y="2191963"/>
        <a:ext cx="1049342" cy="684911"/>
      </dsp:txXfrm>
    </dsp:sp>
    <dsp:sp modelId="{A4530555-5107-4EDF-87DD-2E035FCAD09E}">
      <dsp:nvSpPr>
        <dsp:cNvPr id="0" name=""/>
        <dsp:cNvSpPr/>
      </dsp:nvSpPr>
      <dsp:spPr>
        <a:xfrm>
          <a:off x="1237488" y="647244"/>
          <a:ext cx="4795266" cy="2250948"/>
        </a:xfrm>
        <a:prstGeom prst="roundRect">
          <a:avLst>
            <a:gd name="adj" fmla="val 10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1429352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PHASE II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ADMINISTRATIVE NORMALCY (Restoring Core Operational Capacity)</a:t>
          </a:r>
        </a:p>
      </dsp:txBody>
      <dsp:txXfrm>
        <a:off x="1306712" y="716468"/>
        <a:ext cx="4656818" cy="2112500"/>
      </dsp:txXfrm>
    </dsp:sp>
    <dsp:sp modelId="{75F7BB64-EFFC-45B8-9942-813CF93F02C0}">
      <dsp:nvSpPr>
        <dsp:cNvPr id="0" name=""/>
        <dsp:cNvSpPr/>
      </dsp:nvSpPr>
      <dsp:spPr>
        <a:xfrm>
          <a:off x="1357369" y="1240060"/>
          <a:ext cx="959053" cy="419367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Restoration of Dean office &amp; Redocumentation</a:t>
          </a:r>
        </a:p>
      </dsp:txBody>
      <dsp:txXfrm>
        <a:off x="1370266" y="1252957"/>
        <a:ext cx="933259" cy="393573"/>
      </dsp:txXfrm>
    </dsp:sp>
    <dsp:sp modelId="{4BDACCA9-2D6E-48B1-B464-228D5002AF21}">
      <dsp:nvSpPr>
        <dsp:cNvPr id="0" name=""/>
        <dsp:cNvSpPr/>
      </dsp:nvSpPr>
      <dsp:spPr>
        <a:xfrm>
          <a:off x="1265991" y="1733313"/>
          <a:ext cx="1080968" cy="424535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Restoration of Department level administration</a:t>
          </a:r>
        </a:p>
      </dsp:txBody>
      <dsp:txXfrm>
        <a:off x="1279047" y="1746369"/>
        <a:ext cx="1054856" cy="398423"/>
      </dsp:txXfrm>
    </dsp:sp>
    <dsp:sp modelId="{C7648CE6-AAAF-4D70-AFC9-949504664D7F}">
      <dsp:nvSpPr>
        <dsp:cNvPr id="0" name=""/>
        <dsp:cNvSpPr/>
      </dsp:nvSpPr>
      <dsp:spPr>
        <a:xfrm>
          <a:off x="1273490" y="2271608"/>
          <a:ext cx="1126810" cy="407267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Restoration of IT Labs, and special purpose classroom</a:t>
          </a:r>
        </a:p>
      </dsp:txBody>
      <dsp:txXfrm>
        <a:off x="1286015" y="2284133"/>
        <a:ext cx="1101760" cy="382217"/>
      </dsp:txXfrm>
    </dsp:sp>
    <dsp:sp modelId="{2E3BA616-0B8F-4421-8177-4CCD44006BB2}">
      <dsp:nvSpPr>
        <dsp:cNvPr id="0" name=""/>
        <dsp:cNvSpPr/>
      </dsp:nvSpPr>
      <dsp:spPr>
        <a:xfrm>
          <a:off x="2444038" y="1295401"/>
          <a:ext cx="3434029" cy="1427564"/>
        </a:xfrm>
        <a:prstGeom prst="roundRect">
          <a:avLst>
            <a:gd name="adj" fmla="val 10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7260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PHASE III – RESUMPTION OF TEACHING &amp; LEARNING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(Academic Infrastructure Activation)</a:t>
          </a:r>
        </a:p>
      </dsp:txBody>
      <dsp:txXfrm>
        <a:off x="2487941" y="1339304"/>
        <a:ext cx="3346223" cy="1339758"/>
      </dsp:txXfrm>
    </dsp:sp>
    <dsp:sp modelId="{5BEC68C5-58CB-44FE-8E2F-6247097981F8}">
      <dsp:nvSpPr>
        <dsp:cNvPr id="0" name=""/>
        <dsp:cNvSpPr/>
      </dsp:nvSpPr>
      <dsp:spPr>
        <a:xfrm>
          <a:off x="2575606" y="1745074"/>
          <a:ext cx="1065672" cy="754647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Restoration of Smart/normal Classrooms</a:t>
          </a:r>
        </a:p>
      </dsp:txBody>
      <dsp:txXfrm>
        <a:off x="2598814" y="1768282"/>
        <a:ext cx="1019256" cy="708231"/>
      </dsp:txXfrm>
    </dsp:sp>
    <dsp:sp modelId="{D91B621F-7908-4B2B-ABD8-6EEF1AA17B07}">
      <dsp:nvSpPr>
        <dsp:cNvPr id="0" name=""/>
        <dsp:cNvSpPr/>
      </dsp:nvSpPr>
      <dsp:spPr>
        <a:xfrm>
          <a:off x="3625879" y="1729741"/>
          <a:ext cx="1065672" cy="85225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 procurement and fixing of necessary equipments for teaching and learning</a:t>
          </a:r>
        </a:p>
      </dsp:txBody>
      <dsp:txXfrm>
        <a:off x="3652089" y="1755951"/>
        <a:ext cx="1013252" cy="799839"/>
      </dsp:txXfrm>
    </dsp:sp>
    <dsp:sp modelId="{16AF8D79-B02A-46B8-956D-A426752F11A3}">
      <dsp:nvSpPr>
        <dsp:cNvPr id="0" name=""/>
        <dsp:cNvSpPr/>
      </dsp:nvSpPr>
      <dsp:spPr>
        <a:xfrm>
          <a:off x="4721870" y="1853359"/>
          <a:ext cx="1065672" cy="578815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Resumption of Teaching, Research and Learning</a:t>
          </a:r>
        </a:p>
      </dsp:txBody>
      <dsp:txXfrm>
        <a:off x="4739671" y="1871160"/>
        <a:ext cx="1030070" cy="5432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99EE-0694-462D-84C3-30C77D2C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Mithursan</dc:creator>
  <cp:keywords/>
  <dc:description/>
  <cp:lastModifiedBy>Eranda PC</cp:lastModifiedBy>
  <cp:revision>5</cp:revision>
  <dcterms:created xsi:type="dcterms:W3CDTF">2025-12-23T05:34:00Z</dcterms:created>
  <dcterms:modified xsi:type="dcterms:W3CDTF">2025-12-24T08:55:00Z</dcterms:modified>
</cp:coreProperties>
</file>